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top w:val="single" w:sz="6" w:space="12" w:color="000000"/>
          <w:left w:val="single" w:sz="6" w:space="0" w:color="000000"/>
          <w:bottom w:val="single" w:sz="6" w:space="12" w:color="000000"/>
          <w:right w:val="single" w:sz="6" w:space="0" w:color="000000"/>
        </w:pBdr>
        <w:shd w:val="clear" w:fill="F3F3F3"/>
        <w:suppressAutoHyphens w:val="false"/>
        <w:spacing w:lineRule="auto" w:line="240" w:before="0" w:after="0"/>
        <w:jc w:val="center"/>
        <w:textAlignment w:val="auto"/>
        <w:rPr/>
      </w:pPr>
      <w:bookmarkStart w:id="0" w:name="_GoBack"/>
      <w:bookmarkEnd w:id="0"/>
      <w:r>
        <w:rPr>
          <w:rFonts w:eastAsia="Times New Roman" w:cs="Arial" w:ascii="Arial" w:hAnsi="Arial"/>
          <w:b/>
          <w:bCs/>
          <w:position w:val="0"/>
          <w:sz w:val="22"/>
          <w:sz w:val="22"/>
          <w:vertAlign w:val="baseline"/>
          <w:lang w:eastAsia="fr-FR"/>
        </w:rPr>
        <w:t xml:space="preserve">Compte-rendu </w:t>
      </w:r>
      <w:r>
        <w:rPr>
          <w:rFonts w:eastAsia="Times New Roman" w:cs="Arial" w:ascii="Arial" w:hAnsi="Arial"/>
          <w:b/>
          <w:bCs/>
          <w:lang w:eastAsia="fr-FR"/>
        </w:rPr>
        <w:t xml:space="preserve">de la réunion du Conseil Municipal du </w:t>
      </w:r>
      <w:r>
        <w:rPr>
          <w:rFonts w:eastAsia="Times New Roman" w:cs="Arial" w:ascii="Arial" w:hAnsi="Arial"/>
          <w:b/>
          <w:bCs/>
          <w:color w:val="auto"/>
          <w:kern w:val="0"/>
          <w:sz w:val="22"/>
          <w:szCs w:val="22"/>
          <w:lang w:val="fr-FR" w:eastAsia="fr-FR" w:bidi="ar-SA"/>
        </w:rPr>
        <w:t>23 novembre 2023</w:t>
      </w:r>
    </w:p>
    <w:p>
      <w:pPr>
        <w:pStyle w:val="Normal"/>
        <w:widowControl w:val="false"/>
        <w:suppressAutoHyphens w:val="false"/>
        <w:spacing w:lineRule="atLeast" w:line="240" w:before="240" w:after="280"/>
        <w:jc w:val="center"/>
        <w:textAlignment w:val="auto"/>
        <w:rPr>
          <w:rFonts w:eastAsia="Calibri" w:cs="Arial"/>
          <w:b/>
          <w:b/>
          <w:bCs/>
          <w:i/>
          <w:i/>
          <w:iCs/>
        </w:rPr>
      </w:pPr>
      <w:r>
        <w:rPr>
          <w:rFonts w:eastAsia="Calibri" w:cs="Arial"/>
          <w:b/>
          <w:bCs/>
          <w:i/>
          <w:iCs/>
        </w:rPr>
      </w:r>
    </w:p>
    <w:p>
      <w:pPr>
        <w:pStyle w:val="Normal"/>
        <w:widowControl w:val="false"/>
        <w:spacing w:lineRule="auto" w:line="240" w:before="238" w:after="0"/>
        <w:jc w:val="both"/>
        <w:rPr>
          <w:color w:val="auto"/>
        </w:rPr>
      </w:pPr>
      <w:r>
        <w:rPr>
          <w:rFonts w:cs="Arial"/>
          <w:b w:val="false"/>
          <w:bCs w:val="false"/>
          <w:color w:val="auto"/>
          <w:u w:val="none"/>
        </w:rPr>
        <w:t xml:space="preserve">L'an deux mil vingt-trois, le </w:t>
      </w:r>
      <w:r>
        <w:rPr>
          <w:rFonts w:eastAsia="Calibri" w:cs="Arial"/>
          <w:b w:val="false"/>
          <w:bCs w:val="false"/>
          <w:color w:val="auto"/>
          <w:kern w:val="0"/>
          <w:sz w:val="22"/>
          <w:szCs w:val="22"/>
          <w:u w:val="none"/>
          <w:lang w:val="fr-FR" w:eastAsia="en-US" w:bidi="ar-SA"/>
        </w:rPr>
        <w:t>vingt-trois novem</w:t>
      </w:r>
      <w:r>
        <w:rPr>
          <w:rFonts w:cs="Arial"/>
          <w:b w:val="false"/>
          <w:bCs w:val="false"/>
          <w:color w:val="auto"/>
          <w:u w:val="none"/>
        </w:rPr>
        <w:t>bre à dix-neuf heures, le Conseil Municipal de la commune d'Epannes, dûment convoqué, s'est réuni en session ordinaire à la Mairie d'Epannes, sous la présidence de Monsieur Emmanuel EXPOSITO, Maire.</w:t>
      </w:r>
    </w:p>
    <w:p>
      <w:pPr>
        <w:pStyle w:val="Normal"/>
        <w:widowControl w:val="false"/>
        <w:spacing w:lineRule="auto" w:line="240" w:before="238" w:after="0"/>
        <w:jc w:val="both"/>
        <w:rPr>
          <w:color w:val="auto"/>
        </w:rPr>
      </w:pPr>
      <w:r>
        <w:rPr>
          <w:rFonts w:cs="Arial"/>
          <w:b w:val="false"/>
          <w:bCs w:val="false"/>
          <w:color w:val="auto"/>
          <w:u w:val="none"/>
        </w:rPr>
        <w:t>Nombre de conseillers en exercice : 14</w:t>
      </w:r>
    </w:p>
    <w:p>
      <w:pPr>
        <w:pStyle w:val="Normal"/>
        <w:widowControl w:val="false"/>
        <w:spacing w:lineRule="auto" w:line="240" w:before="238" w:after="0"/>
        <w:jc w:val="both"/>
        <w:rPr>
          <w:color w:val="auto"/>
        </w:rPr>
      </w:pPr>
      <w:r>
        <w:rPr>
          <w:rFonts w:cs="Arial"/>
          <w:b w:val="false"/>
          <w:bCs w:val="false"/>
          <w:color w:val="auto"/>
          <w:u w:val="none"/>
        </w:rPr>
        <w:t>Nombre de présents : 10</w:t>
      </w:r>
    </w:p>
    <w:p>
      <w:pPr>
        <w:pStyle w:val="Normal"/>
        <w:widowControl w:val="false"/>
        <w:spacing w:lineRule="auto" w:line="240" w:before="238" w:after="0"/>
        <w:jc w:val="both"/>
        <w:rPr>
          <w:color w:val="auto"/>
        </w:rPr>
      </w:pPr>
      <w:r>
        <w:rPr>
          <w:rFonts w:cs="Arial"/>
          <w:b w:val="false"/>
          <w:bCs w:val="false"/>
          <w:color w:val="auto"/>
          <w:u w:val="none"/>
        </w:rPr>
        <w:t>Nombre de votants : 10</w:t>
      </w:r>
    </w:p>
    <w:p>
      <w:pPr>
        <w:pStyle w:val="Normal"/>
        <w:widowControl w:val="false"/>
        <w:spacing w:lineRule="auto" w:line="240" w:before="238" w:after="0"/>
        <w:jc w:val="both"/>
        <w:rPr>
          <w:color w:val="auto"/>
        </w:rPr>
      </w:pPr>
      <w:r>
        <w:rPr>
          <w:rFonts w:cs="Arial"/>
          <w:b w:val="false"/>
          <w:bCs w:val="false"/>
          <w:color w:val="auto"/>
          <w:u w:val="none"/>
        </w:rPr>
        <w:t>Date de la convocation : 17 novembre 2023</w:t>
      </w:r>
    </w:p>
    <w:p>
      <w:pPr>
        <w:pStyle w:val="Normal"/>
        <w:widowControl w:val="false"/>
        <w:spacing w:before="120" w:after="200"/>
        <w:jc w:val="both"/>
        <w:rPr/>
      </w:pPr>
      <w:r>
        <w:rPr>
          <w:rFonts w:cs="Arial"/>
          <w:color w:val="auto"/>
          <w:u w:val="single"/>
        </w:rPr>
        <w:t>Présents</w:t>
      </w:r>
      <w:r>
        <w:rPr>
          <w:rFonts w:cs="Arial"/>
          <w:color w:val="auto"/>
        </w:rPr>
        <w:t xml:space="preserve"> :</w:t>
      </w:r>
      <w:r>
        <w:rPr>
          <w:rFonts w:eastAsia="Times New Roman" w:cs="Arial"/>
          <w:color w:val="auto"/>
          <w:lang w:eastAsia="fr-FR"/>
        </w:rPr>
        <w:t xml:space="preserve"> M. </w:t>
      </w:r>
      <w:r>
        <w:rPr>
          <w:rFonts w:eastAsia="Times New Roman" w:cs="Arial"/>
          <w:color w:val="auto"/>
          <w:kern w:val="0"/>
          <w:sz w:val="22"/>
          <w:szCs w:val="22"/>
          <w:lang w:val="fr-FR" w:eastAsia="fr-FR" w:bidi="ar-SA"/>
        </w:rPr>
        <w:t>Pascal BRISSEAU</w:t>
      </w:r>
      <w:r>
        <w:rPr>
          <w:rFonts w:eastAsia="Times New Roman" w:cs="Arial"/>
          <w:color w:val="auto"/>
          <w:lang w:eastAsia="fr-FR"/>
        </w:rPr>
        <w:t>, M. Joël CAILLE, M. Emmanuel EXPOSITO, M. Jean-Claude FAVRELIERE, M. Bernard FREMENTEAU, Mme Véronique GALLOPIN, Mme Isabelle GAUTIER, Mme Chantal GUIGNARD, M. Pierrick QUEMENER, Mme Armelle RAVARD</w:t>
        <w:tab/>
        <w:t xml:space="preserve">   </w:t>
      </w:r>
    </w:p>
    <w:p>
      <w:pPr>
        <w:pStyle w:val="Normal"/>
        <w:widowControl w:val="false"/>
        <w:spacing w:before="0" w:after="0"/>
        <w:jc w:val="both"/>
        <w:rPr>
          <w:color w:val="auto"/>
        </w:rPr>
      </w:pPr>
      <w:r>
        <w:rPr>
          <w:rFonts w:cs="Arial"/>
          <w:color w:val="auto"/>
          <w:u w:val="single"/>
        </w:rPr>
        <w:t>Excusés </w:t>
      </w:r>
      <w:r>
        <w:rPr>
          <w:rFonts w:cs="Arial"/>
          <w:color w:val="auto"/>
        </w:rPr>
        <w:t>:</w:t>
      </w:r>
      <w:r>
        <w:rPr>
          <w:rFonts w:cs="Arial"/>
          <w:b/>
          <w:i/>
          <w:iCs/>
          <w:color w:val="auto"/>
          <w:sz w:val="22"/>
          <w:szCs w:val="22"/>
          <w:lang w:eastAsia="fr-FR"/>
        </w:rPr>
        <w:t xml:space="preserve"> </w:t>
      </w:r>
      <w:r>
        <w:rPr>
          <w:rFonts w:cs="Arial"/>
          <w:b w:val="false"/>
          <w:bCs w:val="false"/>
          <w:i w:val="false"/>
          <w:iCs w:val="false"/>
          <w:color w:val="auto"/>
          <w:sz w:val="22"/>
          <w:szCs w:val="22"/>
          <w:lang w:eastAsia="fr-FR"/>
        </w:rPr>
        <w:t>Aucun</w:t>
      </w:r>
    </w:p>
    <w:p>
      <w:pPr>
        <w:pStyle w:val="Normal"/>
        <w:widowControl w:val="false"/>
        <w:spacing w:before="0" w:after="0"/>
        <w:jc w:val="both"/>
        <w:rPr>
          <w:rFonts w:eastAsia="Times New Roman" w:cs="Arial"/>
          <w:b w:val="false"/>
          <w:b w:val="false"/>
          <w:bCs w:val="false"/>
          <w:i w:val="false"/>
          <w:i w:val="false"/>
          <w:iCs w:val="false"/>
          <w:color w:val="auto"/>
          <w:sz w:val="22"/>
          <w:szCs w:val="22"/>
          <w:lang w:eastAsia="fr-FR"/>
        </w:rPr>
      </w:pPr>
      <w:r>
        <w:rPr>
          <w:rFonts w:eastAsia="Times New Roman" w:cs="Arial"/>
          <w:b w:val="false"/>
          <w:bCs w:val="false"/>
          <w:i w:val="false"/>
          <w:iCs w:val="false"/>
          <w:color w:val="auto"/>
          <w:sz w:val="22"/>
          <w:szCs w:val="22"/>
          <w:lang w:eastAsia="fr-FR"/>
        </w:rPr>
      </w:r>
    </w:p>
    <w:p>
      <w:pPr>
        <w:pStyle w:val="Normal"/>
        <w:widowControl w:val="false"/>
        <w:spacing w:lineRule="auto" w:line="240" w:before="0" w:after="0"/>
        <w:jc w:val="both"/>
        <w:rPr>
          <w:color w:val="auto"/>
        </w:rPr>
      </w:pPr>
      <w:r>
        <w:rPr>
          <w:rFonts w:cs="Arial"/>
          <w:color w:val="auto"/>
          <w:u w:val="single"/>
        </w:rPr>
        <w:t>Absents</w:t>
      </w:r>
      <w:r>
        <w:rPr>
          <w:rFonts w:cs="Arial"/>
          <w:color w:val="auto"/>
        </w:rPr>
        <w:t> : M. Nicolas BAUDOUIN, Mme Dominique DONIZEAU, Mme Ophélie RAMOS, M. Nicolas SALLARES</w:t>
      </w:r>
    </w:p>
    <w:p>
      <w:pPr>
        <w:pStyle w:val="Normal"/>
        <w:widowControl w:val="false"/>
        <w:spacing w:lineRule="auto" w:line="240" w:before="240" w:after="200"/>
        <w:jc w:val="both"/>
        <w:rPr>
          <w:color w:val="FFFFFF"/>
        </w:rPr>
      </w:pPr>
      <w:r>
        <w:rPr>
          <w:rFonts w:eastAsia="Times New Roman" w:cs="Arial"/>
          <w:b w:val="false"/>
          <w:bCs w:val="false"/>
          <w:color w:val="auto"/>
          <w:kern w:val="0"/>
          <w:sz w:val="22"/>
          <w:szCs w:val="22"/>
          <w:u w:val="single"/>
          <w:lang w:val="fr-FR" w:eastAsia="fr-FR" w:bidi="ar-SA"/>
        </w:rPr>
        <w:t>Secrétaire de séance</w:t>
      </w:r>
      <w:r>
        <w:rPr>
          <w:rFonts w:eastAsia="Times New Roman" w:cs="Arial"/>
          <w:b w:val="false"/>
          <w:bCs w:val="false"/>
          <w:color w:val="auto"/>
          <w:kern w:val="0"/>
          <w:sz w:val="22"/>
          <w:szCs w:val="22"/>
          <w:u w:val="none"/>
          <w:lang w:val="fr-FR" w:eastAsia="fr-FR" w:bidi="ar-SA"/>
        </w:rPr>
        <w:t> : M. Jean-Claude FAVRELIERE</w:t>
      </w:r>
    </w:p>
    <w:p>
      <w:pPr>
        <w:pStyle w:val="Normal"/>
        <w:widowControl w:val="false"/>
        <w:spacing w:lineRule="auto" w:line="240" w:before="69" w:after="29"/>
        <w:jc w:val="both"/>
        <w:rPr>
          <w:rFonts w:eastAsia="Calibri" w:cs="Arial"/>
          <w:sz w:val="22"/>
          <w:szCs w:val="22"/>
          <w:lang w:val="fr-FR"/>
        </w:rPr>
      </w:pPr>
      <w:r>
        <w:rPr>
          <w:rFonts w:eastAsia="Calibri" w:cs="Arial"/>
          <w:sz w:val="22"/>
          <w:szCs w:val="22"/>
          <w:lang w:val="fr-FR"/>
        </w:rPr>
      </w:r>
    </w:p>
    <w:p>
      <w:pPr>
        <w:pStyle w:val="Normal"/>
        <w:widowControl w:val="false"/>
        <w:suppressAutoHyphens w:val="false"/>
        <w:spacing w:lineRule="auto" w:line="276" w:before="120" w:after="200"/>
        <w:jc w:val="both"/>
        <w:textAlignment w:val="auto"/>
        <w:rPr/>
      </w:pPr>
      <w:r>
        <w:rPr>
          <w:rFonts w:eastAsia="Times New Roman" w:cs="Arial"/>
          <w:b/>
          <w:bCs/>
          <w:sz w:val="22"/>
          <w:szCs w:val="22"/>
          <w:u w:val="single"/>
          <w:lang w:val="fr-FR" w:eastAsia="fr-FR"/>
        </w:rPr>
        <w:t>L’ORDRE DU JOUR</w:t>
      </w:r>
      <w:r>
        <w:rPr>
          <w:rFonts w:eastAsia="Times New Roman" w:cs="Arial"/>
          <w:b/>
          <w:bCs/>
          <w:sz w:val="22"/>
          <w:szCs w:val="22"/>
          <w:lang w:val="fr-FR" w:eastAsia="fr-FR"/>
        </w:rPr>
        <w:t xml:space="preserve"> :</w:t>
      </w:r>
    </w:p>
    <w:p>
      <w:pPr>
        <w:pStyle w:val="Normal"/>
        <w:widowControl w:val="false"/>
        <w:suppressAutoHyphens w:val="false"/>
        <w:spacing w:lineRule="auto" w:line="276" w:before="120" w:after="200"/>
        <w:jc w:val="both"/>
        <w:textAlignment w:val="auto"/>
        <w:rPr>
          <w:b w:val="false"/>
          <w:b w:val="false"/>
          <w:bCs w:val="false"/>
        </w:rPr>
      </w:pPr>
      <w:r>
        <w:rPr>
          <w:rFonts w:eastAsia="Times New Roman" w:cs="Arial"/>
          <w:b w:val="false"/>
          <w:bCs w:val="false"/>
          <w:sz w:val="22"/>
          <w:szCs w:val="22"/>
          <w:lang w:val="fr-FR" w:eastAsia="fr-FR"/>
        </w:rPr>
        <w:t>Présentation du projet d’aménagement de voirie par l’entreprise A2I</w:t>
      </w:r>
    </w:p>
    <w:p>
      <w:pPr>
        <w:pStyle w:val="Normal"/>
        <w:numPr>
          <w:ilvl w:val="0"/>
          <w:numId w:val="3"/>
        </w:numPr>
        <w:spacing w:lineRule="auto" w:line="240"/>
        <w:jc w:val="both"/>
        <w:rPr>
          <w:sz w:val="22"/>
          <w:szCs w:val="22"/>
        </w:rPr>
      </w:pPr>
      <w:r>
        <w:rPr>
          <w:rFonts w:eastAsia="Times New Roman" w:cs="Calibri"/>
          <w:b w:val="false"/>
          <w:bCs w:val="false"/>
          <w:caps w:val="false"/>
          <w:smallCaps w:val="false"/>
          <w:color w:val="auto"/>
          <w:kern w:val="0"/>
          <w:sz w:val="22"/>
          <w:szCs w:val="22"/>
          <w:u w:val="none"/>
          <w:lang w:val="fr-FR" w:eastAsia="fr-FR" w:bidi="ar-SA"/>
        </w:rPr>
        <w:t xml:space="preserve">Avenant </w:t>
      </w:r>
      <w:r>
        <w:rPr>
          <w:rFonts w:eastAsia="Times New Roman" w:cs="Calibri"/>
          <w:b w:val="false"/>
          <w:bCs w:val="false"/>
          <w:caps w:val="false"/>
          <w:smallCaps w:val="false"/>
          <w:color w:val="auto"/>
          <w:kern w:val="0"/>
          <w:sz w:val="22"/>
          <w:szCs w:val="22"/>
          <w:u w:val="none"/>
          <w:lang w:val="fr-FR" w:eastAsia="zh-CN" w:bidi="ar-SA"/>
        </w:rPr>
        <w:t>1 au contrat de prévoyance collective – Autorisation de signature</w:t>
      </w:r>
    </w:p>
    <w:p>
      <w:pPr>
        <w:pStyle w:val="BodyText2"/>
        <w:numPr>
          <w:ilvl w:val="0"/>
          <w:numId w:val="3"/>
        </w:numPr>
        <w:spacing w:lineRule="auto" w:line="240"/>
        <w:jc w:val="both"/>
        <w:rPr>
          <w:sz w:val="22"/>
          <w:szCs w:val="22"/>
        </w:rPr>
      </w:pPr>
      <w:r>
        <w:rPr>
          <w:rFonts w:eastAsia="Times New Roman" w:cs="Calibri"/>
          <w:b w:val="false"/>
          <w:bCs w:val="false"/>
          <w:caps w:val="false"/>
          <w:smallCaps w:val="false"/>
          <w:color w:val="auto"/>
          <w:kern w:val="0"/>
          <w:sz w:val="22"/>
          <w:szCs w:val="22"/>
          <w:u w:val="none"/>
          <w:lang w:val="fr-FR" w:eastAsia="zh-CN" w:bidi="ar-SA"/>
        </w:rPr>
        <w:t>Décision Modificative n°4 – Budget Principal</w:t>
      </w:r>
    </w:p>
    <w:p>
      <w:pPr>
        <w:pStyle w:val="Corpsdetexte"/>
        <w:numPr>
          <w:ilvl w:val="0"/>
          <w:numId w:val="0"/>
        </w:numPr>
        <w:spacing w:lineRule="auto" w:line="240"/>
        <w:ind w:left="0" w:hanging="0"/>
        <w:rPr>
          <w:sz w:val="22"/>
          <w:szCs w:val="22"/>
        </w:rPr>
      </w:pPr>
      <w:r>
        <w:rPr>
          <w:rFonts w:ascii="Calibri" w:hAnsi="Calibri"/>
          <w:i w:val="false"/>
          <w:iCs w:val="false"/>
          <w:sz w:val="22"/>
          <w:szCs w:val="22"/>
        </w:rPr>
        <w:t>Questions diverses</w:t>
      </w:r>
    </w:p>
    <w:p>
      <w:pPr>
        <w:pStyle w:val="Normal"/>
        <w:suppressAutoHyphens w:val="false"/>
        <w:spacing w:lineRule="auto" w:line="240" w:before="0" w:after="0"/>
        <w:ind w:left="1429" w:right="0" w:hanging="0"/>
        <w:jc w:val="both"/>
        <w:textAlignment w:val="auto"/>
        <w:rPr>
          <w:i w:val="false"/>
          <w:i w:val="false"/>
          <w:iCs w:val="false"/>
          <w:sz w:val="22"/>
          <w:szCs w:val="22"/>
        </w:rPr>
      </w:pPr>
      <w:r>
        <w:rPr>
          <w:i w:val="false"/>
          <w:iCs w:val="false"/>
          <w:sz w:val="22"/>
          <w:szCs w:val="22"/>
        </w:rPr>
      </w:r>
    </w:p>
    <w:p>
      <w:pPr>
        <w:pStyle w:val="Normal"/>
        <w:suppressAutoHyphens w:val="false"/>
        <w:spacing w:lineRule="auto" w:line="240" w:before="0" w:after="0"/>
        <w:ind w:left="1429" w:right="0" w:hanging="0"/>
        <w:jc w:val="both"/>
        <w:textAlignment w:val="auto"/>
        <w:rPr>
          <w:sz w:val="22"/>
          <w:szCs w:val="22"/>
        </w:rPr>
      </w:pPr>
      <w:r>
        <w:rPr>
          <w:sz w:val="22"/>
          <w:szCs w:val="22"/>
        </w:rPr>
      </w:r>
    </w:p>
    <w:p>
      <w:pPr>
        <w:pStyle w:val="Normal"/>
        <w:spacing w:lineRule="auto" w:line="240" w:before="0" w:after="0"/>
        <w:rPr>
          <w:rFonts w:cs="Arial"/>
          <w:b w:val="false"/>
          <w:b w:val="false"/>
          <w:bCs w:val="false"/>
        </w:rPr>
      </w:pPr>
      <w:r>
        <w:rPr>
          <w:rFonts w:cs="Arial"/>
          <w:b w:val="false"/>
          <w:bCs w:val="false"/>
        </w:rPr>
        <w:t>La séance est ouverte à 18h10</w:t>
      </w:r>
    </w:p>
    <w:p>
      <w:pPr>
        <w:pStyle w:val="Normal"/>
        <w:spacing w:lineRule="auto" w:line="240" w:before="0" w:after="0"/>
        <w:rPr>
          <w:rFonts w:cs="Arial"/>
          <w:b w:val="false"/>
          <w:b w:val="false"/>
          <w:bCs w:val="false"/>
        </w:rPr>
      </w:pPr>
      <w:r>
        <w:rPr>
          <w:rFonts w:cs="Arial"/>
          <w:b w:val="false"/>
          <w:bCs w:val="false"/>
        </w:rPr>
      </w:r>
    </w:p>
    <w:p>
      <w:pPr>
        <w:pStyle w:val="Normal"/>
        <w:spacing w:lineRule="auto" w:line="240" w:before="0" w:after="0"/>
        <w:jc w:val="center"/>
        <w:rPr>
          <w:b/>
          <w:b/>
          <w:bCs/>
          <w:u w:val="single"/>
        </w:rPr>
      </w:pPr>
      <w:r>
        <w:rPr>
          <w:rFonts w:cs="Arial"/>
          <w:b/>
          <w:bCs/>
          <w:u w:val="single"/>
        </w:rPr>
        <w:t>Présentation du projet d’aménagement de voirie par l’entreprise A2I</w:t>
      </w:r>
    </w:p>
    <w:p>
      <w:pPr>
        <w:pStyle w:val="Normal"/>
        <w:spacing w:lineRule="auto" w:line="240" w:before="0" w:after="0"/>
        <w:jc w:val="center"/>
        <w:rPr>
          <w:rFonts w:cs="Arial"/>
        </w:rPr>
      </w:pPr>
      <w:r>
        <w:rPr>
          <w:rFonts w:cs="Arial"/>
        </w:rPr>
      </w:r>
    </w:p>
    <w:p>
      <w:pPr>
        <w:pStyle w:val="Normal"/>
        <w:spacing w:lineRule="auto" w:line="240" w:before="0" w:after="0"/>
        <w:rPr>
          <w:rFonts w:cs="Arial"/>
          <w:b/>
          <w:b/>
          <w:bCs/>
        </w:rPr>
      </w:pPr>
      <w:r>
        <w:rPr>
          <w:rFonts w:cs="Arial"/>
          <w:b/>
          <w:bCs/>
        </w:rPr>
      </w:r>
    </w:p>
    <w:p>
      <w:pPr>
        <w:pStyle w:val="Normal"/>
        <w:spacing w:lineRule="auto" w:line="240" w:before="0" w:after="0"/>
        <w:jc w:val="center"/>
        <w:rPr>
          <w:rFonts w:cs="Arial"/>
          <w:b/>
          <w:b/>
          <w:bCs/>
          <w:u w:val="single"/>
        </w:rPr>
      </w:pPr>
      <w:r>
        <w:rPr>
          <w:rFonts w:cs="Arial"/>
          <w:b/>
          <w:bCs/>
          <w:u w:val="single"/>
        </w:rPr>
        <w:t xml:space="preserve">Approbation du compte-rendu du Conseil Municipal du </w:t>
      </w:r>
      <w:r>
        <w:rPr>
          <w:rFonts w:eastAsia="Calibri" w:cs="Arial"/>
          <w:b/>
          <w:bCs/>
          <w:color w:val="auto"/>
          <w:kern w:val="0"/>
          <w:sz w:val="22"/>
          <w:szCs w:val="22"/>
          <w:u w:val="single"/>
          <w:lang w:val="fr-FR" w:eastAsia="en-US" w:bidi="ar-SA"/>
        </w:rPr>
        <w:t>30 octobre 2023</w:t>
      </w:r>
    </w:p>
    <w:p>
      <w:pPr>
        <w:pStyle w:val="Normal"/>
        <w:spacing w:lineRule="auto" w:line="240" w:before="0" w:after="0"/>
        <w:rPr>
          <w:rFonts w:cs="Arial"/>
          <w:b/>
          <w:b/>
          <w:bCs/>
        </w:rPr>
      </w:pPr>
      <w:r>
        <w:rPr>
          <w:rFonts w:cs="Arial"/>
          <w:b/>
          <w:bCs/>
        </w:rPr>
      </w:r>
    </w:p>
    <w:p>
      <w:pPr>
        <w:pStyle w:val="Normal"/>
        <w:spacing w:lineRule="auto" w:line="240" w:before="0" w:after="0"/>
        <w:rPr>
          <w:rFonts w:cs="Arial"/>
          <w:b w:val="false"/>
          <w:b w:val="false"/>
          <w:bCs w:val="false"/>
        </w:rPr>
      </w:pPr>
      <w:r>
        <w:rPr>
          <w:rFonts w:cs="Arial"/>
          <w:b w:val="false"/>
          <w:bCs w:val="false"/>
        </w:rPr>
        <w:t>Le compte-rendu est adopté à l’unanimité.</w:t>
      </w:r>
    </w:p>
    <w:p>
      <w:pPr>
        <w:pStyle w:val="Normal"/>
        <w:spacing w:lineRule="auto" w:line="240" w:before="0" w:after="0"/>
        <w:rPr>
          <w:rFonts w:cs="Arial"/>
          <w:b/>
          <w:b/>
          <w:bCs/>
        </w:rPr>
      </w:pPr>
      <w:r>
        <w:rPr>
          <w:rFonts w:cs="Arial"/>
          <w:b/>
          <w:bCs/>
        </w:rPr>
      </w:r>
    </w:p>
    <w:p>
      <w:pPr>
        <w:pStyle w:val="Corpsdetexte"/>
        <w:keepNext w:val="false"/>
        <w:keepLines w:val="false"/>
        <w:widowControl/>
        <w:spacing w:lineRule="auto" w:line="240" w:before="0" w:after="160"/>
        <w:ind w:right="0" w:hanging="0"/>
        <w:jc w:val="center"/>
        <w:rPr>
          <w:rFonts w:ascii="Calibri" w:hAnsi="Calibri" w:eastAsia="Times New Roman"/>
          <w:i w:val="false"/>
          <w:i w:val="false"/>
          <w:iCs w:val="false"/>
          <w:caps w:val="false"/>
          <w:smallCaps w:val="false"/>
          <w:strike w:val="false"/>
          <w:dstrike w:val="false"/>
          <w:color w:val="000000"/>
          <w:kern w:val="0"/>
          <w:position w:val="0"/>
          <w:sz w:val="22"/>
          <w:sz w:val="22"/>
          <w:szCs w:val="22"/>
          <w:u w:val="single"/>
          <w:vertAlign w:val="baseline"/>
          <w:lang w:val="fr-FR" w:eastAsia="fr-FR" w:bidi="ar-SA"/>
        </w:rPr>
      </w:pPr>
      <w:r>
        <w:rPr>
          <w:rFonts w:eastAsia="Times New Roman" w:ascii="Calibri" w:hAnsi="Calibri"/>
          <w:i w:val="false"/>
          <w:iCs w:val="false"/>
          <w:caps w:val="false"/>
          <w:smallCaps w:val="false"/>
          <w:strike w:val="false"/>
          <w:dstrike w:val="false"/>
          <w:color w:val="000000"/>
          <w:kern w:val="0"/>
          <w:position w:val="0"/>
          <w:sz w:val="22"/>
          <w:sz w:val="22"/>
          <w:szCs w:val="22"/>
          <w:u w:val="single"/>
          <w:vertAlign w:val="baseline"/>
          <w:lang w:val="fr-FR" w:eastAsia="fr-FR" w:bidi="ar-SA"/>
        </w:rPr>
      </w:r>
    </w:p>
    <w:p>
      <w:pPr>
        <w:pStyle w:val="BodyText2"/>
        <w:spacing w:lineRule="auto" w:line="240"/>
        <w:jc w:val="center"/>
        <w:rPr>
          <w:rFonts w:ascii="Calibri" w:hAnsi="Calibri"/>
          <w:sz w:val="22"/>
          <w:szCs w:val="22"/>
        </w:rPr>
      </w:pPr>
      <w:r>
        <w:rPr>
          <w:rFonts w:eastAsia="Times New Roman" w:cs="Arial"/>
          <w:b/>
          <w:bCs w:val="false"/>
          <w:caps w:val="false"/>
          <w:smallCaps w:val="false"/>
          <w:color w:val="auto"/>
          <w:kern w:val="0"/>
          <w:sz w:val="22"/>
          <w:szCs w:val="22"/>
          <w:u w:val="single"/>
          <w:lang w:val="fr-FR" w:eastAsia="fr-FR" w:bidi="ar-SA"/>
        </w:rPr>
        <w:t>Avenant 1 au contrat de prévoyance collective – Autorisation de signature</w:t>
      </w:r>
    </w:p>
    <w:p>
      <w:pPr>
        <w:pStyle w:val="BodyText2"/>
        <w:spacing w:lineRule="auto" w:line="240"/>
        <w:jc w:val="center"/>
        <w:rPr>
          <w:rFonts w:eastAsia="Times New Roman" w:cs="Arial" w:asciiTheme="minorHAnsi" w:hAnsiTheme="minorHAnsi"/>
          <w:b/>
          <w:b/>
          <w:bCs w:val="false"/>
          <w:caps w:val="false"/>
          <w:smallCaps w:val="false"/>
          <w:color w:val="auto"/>
          <w:kern w:val="0"/>
          <w:sz w:val="22"/>
          <w:szCs w:val="22"/>
          <w:u w:val="single"/>
          <w:lang w:val="fr-FR" w:eastAsia="fr-FR" w:bidi="ar-SA"/>
        </w:rPr>
      </w:pPr>
      <w:r>
        <w:rPr>
          <w:rFonts w:eastAsia="Times New Roman" w:cs="Arial" w:asciiTheme="minorHAnsi" w:hAnsiTheme="minorHAnsi"/>
          <w:b/>
          <w:bCs w:val="false"/>
          <w:caps w:val="false"/>
          <w:smallCaps w:val="false"/>
          <w:color w:val="auto"/>
          <w:kern w:val="0"/>
          <w:sz w:val="22"/>
          <w:szCs w:val="22"/>
          <w:u w:val="single"/>
          <w:lang w:val="fr-FR" w:eastAsia="fr-FR" w:bidi="ar-SA"/>
        </w:rPr>
      </w:r>
    </w:p>
    <w:p>
      <w:pPr>
        <w:pStyle w:val="BodyText2"/>
        <w:spacing w:lineRule="auto" w:line="240" w:before="0" w:after="63"/>
        <w:rPr/>
      </w:pPr>
      <w:r>
        <w:rPr>
          <w:rFonts w:eastAsia="Times New Roman" w:cs="Arial"/>
          <w:b w:val="false"/>
          <w:bCs w:val="false"/>
          <w:caps w:val="false"/>
          <w:smallCaps w:val="false"/>
          <w:color w:val="auto"/>
          <w:kern w:val="0"/>
          <w:sz w:val="22"/>
          <w:szCs w:val="22"/>
          <w:u w:val="none"/>
          <w:lang w:val="fr-FR" w:eastAsia="fr-FR" w:bidi="ar-SA"/>
        </w:rPr>
        <w:t>Vu le Code Général des Collectivités Territoriales,</w:t>
      </w:r>
    </w:p>
    <w:p>
      <w:pPr>
        <w:pStyle w:val="BodyText2"/>
        <w:spacing w:lineRule="auto" w:line="240" w:before="0" w:after="63"/>
        <w:rPr/>
      </w:pPr>
      <w:r>
        <w:rPr>
          <w:rFonts w:eastAsia="Times New Roman" w:cs="Arial"/>
          <w:b w:val="false"/>
          <w:bCs w:val="false"/>
          <w:caps w:val="false"/>
          <w:smallCaps w:val="false"/>
          <w:color w:val="auto"/>
          <w:kern w:val="0"/>
          <w:sz w:val="22"/>
          <w:szCs w:val="22"/>
          <w:u w:val="none"/>
          <w:lang w:val="fr-FR" w:eastAsia="fr-FR" w:bidi="ar-SA"/>
        </w:rPr>
        <w:t>Vu le Code des Assurances, de la mutualité et de la Sécurité Sociale,</w:t>
      </w:r>
    </w:p>
    <w:p>
      <w:pPr>
        <w:pStyle w:val="BodyText2"/>
        <w:spacing w:lineRule="auto" w:line="240" w:before="0" w:after="63"/>
        <w:rPr/>
      </w:pPr>
      <w:r>
        <w:rPr>
          <w:rFonts w:eastAsia="Times New Roman" w:cs="Arial"/>
          <w:b w:val="false"/>
          <w:bCs w:val="false"/>
          <w:caps w:val="false"/>
          <w:smallCaps w:val="false"/>
          <w:color w:val="auto"/>
          <w:kern w:val="0"/>
          <w:sz w:val="22"/>
          <w:szCs w:val="22"/>
          <w:u w:val="none"/>
          <w:lang w:val="fr-FR" w:eastAsia="fr-FR" w:bidi="ar-SA"/>
        </w:rPr>
        <w:t>Vu la loi n°84-53 du 26 janvier 1984 modifiée et notamment son article 25 alinéa 6,</w:t>
      </w:r>
    </w:p>
    <w:p>
      <w:pPr>
        <w:pStyle w:val="BodyText2"/>
        <w:spacing w:lineRule="auto" w:line="240" w:before="0" w:after="63"/>
        <w:rPr/>
      </w:pPr>
      <w:r>
        <w:rPr>
          <w:rFonts w:eastAsia="Times New Roman" w:cs="Arial"/>
          <w:b w:val="false"/>
          <w:bCs w:val="false"/>
          <w:caps w:val="false"/>
          <w:smallCaps w:val="false"/>
          <w:color w:val="auto"/>
          <w:kern w:val="0"/>
          <w:sz w:val="22"/>
          <w:szCs w:val="22"/>
          <w:u w:val="none"/>
          <w:lang w:val="fr-FR" w:eastAsia="fr-FR" w:bidi="ar-SA"/>
        </w:rPr>
        <w:t>Vu le décret n°1474 du 8 novembre 2011 relatif à la participation des collectivités territoriales et de leurs établissements publics au financement de la protection sociale complémentaire de leurs agents,</w:t>
      </w:r>
    </w:p>
    <w:p>
      <w:pPr>
        <w:pStyle w:val="BodyText2"/>
        <w:spacing w:lineRule="auto" w:line="240" w:before="0" w:after="63"/>
        <w:rPr/>
      </w:pPr>
      <w:r>
        <w:rPr>
          <w:rFonts w:eastAsia="Times New Roman" w:cs="Arial"/>
          <w:b w:val="false"/>
          <w:bCs w:val="false"/>
          <w:caps w:val="false"/>
          <w:smallCaps w:val="false"/>
          <w:color w:val="auto"/>
          <w:kern w:val="0"/>
          <w:sz w:val="22"/>
          <w:szCs w:val="22"/>
          <w:u w:val="none"/>
          <w:lang w:val="fr-FR" w:eastAsia="fr-FR" w:bidi="ar-SA"/>
        </w:rPr>
        <w:t>Vu la circulaire du Ministère de l’Intérieur du 25 mai 2012 relative aux participations des collectivités territoriales et de leurs établissements publics à la protection sociale complémentaire de leurs agents,</w:t>
      </w:r>
    </w:p>
    <w:p>
      <w:pPr>
        <w:pStyle w:val="BodyText2"/>
        <w:spacing w:lineRule="auto" w:line="240"/>
        <w:rPr/>
      </w:pPr>
      <w:r>
        <w:rPr>
          <w:rFonts w:eastAsia="Times New Roman" w:cs="Arial"/>
          <w:b w:val="false"/>
          <w:bCs w:val="false"/>
          <w:caps w:val="false"/>
          <w:smallCaps w:val="false"/>
          <w:color w:val="auto"/>
          <w:kern w:val="0"/>
          <w:sz w:val="22"/>
          <w:szCs w:val="22"/>
          <w:u w:val="none"/>
          <w:lang w:val="fr-FR" w:eastAsia="fr-FR" w:bidi="ar-SA"/>
        </w:rPr>
        <w:t>Vu l’avis du Comité Technique placé auprès du Centre de Gestion en date du 12 février 2019,</w:t>
      </w:r>
    </w:p>
    <w:p>
      <w:pPr>
        <w:pStyle w:val="BodyText2"/>
        <w:spacing w:lineRule="auto" w:line="240"/>
        <w:rPr/>
      </w:pPr>
      <w:r>
        <w:rPr>
          <w:rFonts w:eastAsia="Times New Roman" w:cs="Arial"/>
          <w:b w:val="false"/>
          <w:bCs w:val="false"/>
          <w:caps w:val="false"/>
          <w:smallCaps w:val="false"/>
          <w:color w:val="auto"/>
          <w:kern w:val="0"/>
          <w:sz w:val="22"/>
          <w:szCs w:val="22"/>
          <w:u w:val="none"/>
          <w:lang w:val="fr-FR" w:eastAsia="fr-FR" w:bidi="ar-SA"/>
        </w:rPr>
        <w:t>Vu la délibération en date du 11 mars 2019 retenant la convention de participation,</w:t>
      </w:r>
    </w:p>
    <w:p>
      <w:pPr>
        <w:pStyle w:val="BodyText2"/>
        <w:spacing w:lineRule="auto" w:line="240"/>
        <w:rPr/>
      </w:pPr>
      <w:r>
        <w:rPr>
          <w:rFonts w:eastAsia="Times New Roman" w:cs="Arial"/>
          <w:b w:val="false"/>
          <w:bCs w:val="false"/>
          <w:caps w:val="false"/>
          <w:smallCaps w:val="false"/>
          <w:color w:val="auto"/>
          <w:kern w:val="0"/>
          <w:sz w:val="22"/>
          <w:szCs w:val="22"/>
          <w:u w:val="none"/>
          <w:lang w:val="fr-FR" w:eastAsia="fr-FR" w:bidi="ar-SA"/>
        </w:rPr>
        <w:t>Vu l’exposé du maire,</w:t>
      </w:r>
    </w:p>
    <w:p>
      <w:pPr>
        <w:pStyle w:val="BodyText2"/>
        <w:spacing w:lineRule="auto" w:line="240"/>
        <w:rPr>
          <w:rFonts w:ascii="Calibri" w:hAnsi="Calibri"/>
          <w:b w:val="false"/>
          <w:b w:val="false"/>
          <w:bCs w:val="false"/>
          <w:sz w:val="22"/>
          <w:szCs w:val="22"/>
          <w:u w:val="none"/>
        </w:rPr>
      </w:pPr>
      <w:r>
        <w:rPr>
          <w:b w:val="false"/>
          <w:bCs w:val="false"/>
          <w:sz w:val="22"/>
          <w:szCs w:val="22"/>
          <w:u w:val="none"/>
        </w:rPr>
      </w:r>
    </w:p>
    <w:p>
      <w:pPr>
        <w:pStyle w:val="BodyText2"/>
        <w:spacing w:lineRule="auto" w:line="240"/>
        <w:rPr/>
      </w:pPr>
      <w:r>
        <w:rPr>
          <w:rFonts w:eastAsia="Times New Roman" w:cs="Arial"/>
          <w:b w:val="false"/>
          <w:bCs w:val="false"/>
          <w:caps w:val="false"/>
          <w:smallCaps w:val="false"/>
          <w:color w:val="auto"/>
          <w:kern w:val="0"/>
          <w:sz w:val="22"/>
          <w:szCs w:val="22"/>
          <w:u w:val="none"/>
          <w:lang w:val="fr-FR" w:eastAsia="fr-FR" w:bidi="ar-SA"/>
        </w:rPr>
        <w:t>Le Conseil Municipal, après en avoir délibéré :</w:t>
      </w:r>
    </w:p>
    <w:p>
      <w:pPr>
        <w:pStyle w:val="BodyText2"/>
        <w:spacing w:lineRule="auto" w:line="240"/>
        <w:rPr>
          <w:rFonts w:ascii="Calibri" w:hAnsi="Calibri"/>
          <w:b w:val="false"/>
          <w:b w:val="false"/>
          <w:bCs w:val="false"/>
          <w:sz w:val="22"/>
          <w:szCs w:val="22"/>
          <w:u w:val="none"/>
        </w:rPr>
      </w:pPr>
      <w:r>
        <w:rPr>
          <w:b w:val="false"/>
          <w:bCs w:val="false"/>
          <w:sz w:val="22"/>
          <w:szCs w:val="22"/>
          <w:u w:val="none"/>
        </w:rPr>
      </w:r>
    </w:p>
    <w:p>
      <w:pPr>
        <w:pStyle w:val="BodyText2"/>
        <w:numPr>
          <w:ilvl w:val="0"/>
          <w:numId w:val="2"/>
        </w:numPr>
        <w:spacing w:lineRule="auto" w:line="240"/>
        <w:rPr/>
      </w:pPr>
      <w:r>
        <w:rPr>
          <w:rFonts w:eastAsia="Times New Roman" w:cs="Arial"/>
          <w:b/>
          <w:bCs/>
          <w:i/>
          <w:iCs/>
          <w:caps w:val="false"/>
          <w:smallCaps w:val="false"/>
          <w:color w:val="auto"/>
          <w:kern w:val="0"/>
          <w:sz w:val="22"/>
          <w:szCs w:val="22"/>
          <w:u w:val="none"/>
          <w:lang w:val="fr-FR" w:eastAsia="fr-FR" w:bidi="ar-SA"/>
        </w:rPr>
        <w:t xml:space="preserve">         </w:t>
      </w:r>
      <w:r>
        <w:rPr>
          <w:rFonts w:eastAsia="Times New Roman" w:cs="Arial"/>
          <w:b/>
          <w:bCs/>
          <w:i/>
          <w:iCs/>
          <w:caps w:val="false"/>
          <w:smallCaps w:val="false"/>
          <w:color w:val="auto"/>
          <w:kern w:val="0"/>
          <w:sz w:val="22"/>
          <w:szCs w:val="22"/>
          <w:u w:val="none"/>
          <w:lang w:val="fr-FR" w:eastAsia="fr-FR" w:bidi="ar-SA"/>
        </w:rPr>
        <w:t>Approuve la modification du contrat de prévoyance collective telle que décrite dans la proposition d’avenant n°1.</w:t>
      </w:r>
    </w:p>
    <w:p>
      <w:pPr>
        <w:pStyle w:val="BodyText2"/>
        <w:numPr>
          <w:ilvl w:val="0"/>
          <w:numId w:val="2"/>
        </w:numPr>
        <w:spacing w:lineRule="auto" w:line="240"/>
        <w:rPr/>
      </w:pPr>
      <w:r>
        <w:rPr>
          <w:rFonts w:eastAsia="Times New Roman" w:cs="Arial"/>
          <w:b/>
          <w:bCs/>
          <w:i/>
          <w:iCs/>
          <w:caps w:val="false"/>
          <w:smallCaps w:val="false"/>
          <w:color w:val="auto"/>
          <w:kern w:val="0"/>
          <w:sz w:val="22"/>
          <w:szCs w:val="22"/>
          <w:u w:val="none"/>
          <w:lang w:val="fr-FR" w:eastAsia="fr-FR" w:bidi="ar-SA"/>
        </w:rPr>
        <w:t xml:space="preserve">         </w:t>
      </w:r>
      <w:r>
        <w:rPr>
          <w:rFonts w:eastAsia="Times New Roman" w:cs="Arial"/>
          <w:b/>
          <w:bCs/>
          <w:i/>
          <w:iCs/>
          <w:caps w:val="false"/>
          <w:smallCaps w:val="false"/>
          <w:color w:val="auto"/>
          <w:kern w:val="0"/>
          <w:sz w:val="22"/>
          <w:szCs w:val="22"/>
          <w:u w:val="none"/>
          <w:lang w:val="fr-FR" w:eastAsia="fr-FR" w:bidi="ar-SA"/>
        </w:rPr>
        <w:t>Autorise le Maire à signer l’avenant n°1 ainsi que tous documents afférents.</w:t>
      </w:r>
    </w:p>
    <w:p>
      <w:pPr>
        <w:pStyle w:val="BodyText2"/>
        <w:spacing w:lineRule="auto" w:line="240"/>
        <w:rPr>
          <w:b/>
          <w:b/>
          <w:bCs/>
          <w:i/>
          <w:i/>
          <w:iCs/>
        </w:rPr>
      </w:pPr>
      <w:r>
        <w:rPr>
          <w:b/>
          <w:bCs/>
          <w:i/>
          <w:iCs/>
        </w:rPr>
      </w:r>
    </w:p>
    <w:p>
      <w:pPr>
        <w:pStyle w:val="ListParagraph"/>
        <w:shd w:val="clear" w:color="auto" w:fill="FFFFFF"/>
        <w:tabs>
          <w:tab w:val="clear" w:pos="708"/>
          <w:tab w:val="left" w:pos="6480" w:leader="none"/>
        </w:tabs>
        <w:spacing w:lineRule="auto" w:line="240" w:beforeAutospacing="0" w:before="0" w:afterAutospacing="0" w:after="0"/>
        <w:ind w:left="720" w:right="0" w:hanging="0"/>
        <w:contextualSpacing/>
        <w:jc w:val="both"/>
        <w:rPr>
          <w:rFonts w:eastAsia="Arial" w:cs="Arial"/>
          <w:b w:val="false"/>
          <w:b w:val="false"/>
          <w:bCs w:val="false"/>
          <w:i w:val="false"/>
          <w:i w:val="false"/>
          <w:iCs w:val="false"/>
        </w:rPr>
      </w:pPr>
      <w:r>
        <w:rPr>
          <w:rFonts w:eastAsia="Arial" w:cs="Arial"/>
          <w:b w:val="false"/>
          <w:bCs w:val="false"/>
          <w:i w:val="false"/>
          <w:iCs w:val="false"/>
        </w:rPr>
        <w:t>Pour : 10</w:t>
      </w:r>
    </w:p>
    <w:p>
      <w:pPr>
        <w:pStyle w:val="ListParagraph"/>
        <w:shd w:val="clear" w:color="auto" w:fill="FFFFFF"/>
        <w:tabs>
          <w:tab w:val="clear" w:pos="708"/>
          <w:tab w:val="left" w:pos="6480" w:leader="none"/>
        </w:tabs>
        <w:spacing w:lineRule="auto" w:line="240" w:beforeAutospacing="0" w:before="0" w:afterAutospacing="0" w:after="0"/>
        <w:ind w:left="720" w:right="0" w:hanging="0"/>
        <w:contextualSpacing/>
        <w:jc w:val="both"/>
        <w:rPr>
          <w:rFonts w:eastAsia="Arial" w:cs="Arial"/>
          <w:b w:val="false"/>
          <w:b w:val="false"/>
          <w:bCs w:val="false"/>
          <w:i w:val="false"/>
          <w:i w:val="false"/>
          <w:iCs w:val="false"/>
        </w:rPr>
      </w:pPr>
      <w:r>
        <w:rPr>
          <w:rFonts w:eastAsia="Arial" w:cs="Arial"/>
          <w:b w:val="false"/>
          <w:bCs w:val="false"/>
          <w:i w:val="false"/>
          <w:iCs w:val="false"/>
        </w:rPr>
        <w:t>Contre : 0</w:t>
      </w:r>
    </w:p>
    <w:p>
      <w:pPr>
        <w:pStyle w:val="ListParagraph"/>
        <w:shd w:val="clear" w:color="auto" w:fill="FFFFFF"/>
        <w:tabs>
          <w:tab w:val="clear" w:pos="708"/>
          <w:tab w:val="left" w:pos="6480" w:leader="none"/>
        </w:tabs>
        <w:spacing w:lineRule="auto" w:line="240" w:beforeAutospacing="0" w:before="0" w:afterAutospacing="0" w:after="0"/>
        <w:ind w:left="720" w:right="0" w:hanging="0"/>
        <w:contextualSpacing/>
        <w:jc w:val="both"/>
        <w:rPr>
          <w:rFonts w:eastAsia="Arial" w:cs="Arial"/>
          <w:b w:val="false"/>
          <w:b w:val="false"/>
          <w:bCs w:val="false"/>
          <w:i w:val="false"/>
          <w:i w:val="false"/>
          <w:iCs w:val="false"/>
        </w:rPr>
      </w:pPr>
      <w:r>
        <w:rPr>
          <w:rStyle w:val="Aucun"/>
          <w:rFonts w:eastAsia="Arial" w:cs="Arial"/>
          <w:b w:val="false"/>
          <w:bCs w:val="false"/>
          <w:i w:val="false"/>
          <w:iCs w:val="false"/>
          <w:caps w:val="false"/>
          <w:smallCaps w:val="false"/>
          <w:strike w:val="false"/>
          <w:dstrike w:val="false"/>
          <w:color w:val="auto"/>
          <w:kern w:val="0"/>
          <w:position w:val="0"/>
          <w:sz w:val="22"/>
          <w:sz w:val="22"/>
          <w:szCs w:val="22"/>
          <w:u w:val="none"/>
          <w:vertAlign w:val="baseline"/>
          <w:lang w:val="fr-FR" w:eastAsia="en-US" w:bidi="ar-SA"/>
        </w:rPr>
        <w:t>Abstentions : 0</w:t>
      </w:r>
    </w:p>
    <w:p>
      <w:pPr>
        <w:pStyle w:val="Corpsdetexte"/>
        <w:spacing w:lineRule="auto" w:line="240"/>
        <w:rPr>
          <w:rStyle w:val="Aucun"/>
          <w:rFonts w:ascii="Calibri" w:hAnsi="Calibri"/>
          <w:i w:val="false"/>
          <w:i w:val="false"/>
          <w:iCs w:val="false"/>
          <w:sz w:val="22"/>
          <w:szCs w:val="22"/>
        </w:rPr>
      </w:pPr>
      <w:r>
        <w:rPr>
          <w:rFonts w:ascii="Calibri" w:hAnsi="Calibri"/>
          <w:i w:val="false"/>
          <w:iCs w:val="false"/>
          <w:sz w:val="22"/>
          <w:szCs w:val="22"/>
        </w:rPr>
      </w:r>
    </w:p>
    <w:p>
      <w:pPr>
        <w:pStyle w:val="Corpsdetexte"/>
        <w:spacing w:lineRule="auto" w:line="240"/>
        <w:rPr>
          <w:rStyle w:val="Aucun"/>
          <w:rFonts w:ascii="Calibri" w:hAnsi="Calibri"/>
          <w:i w:val="false"/>
          <w:i w:val="false"/>
          <w:iCs w:val="false"/>
          <w:sz w:val="22"/>
          <w:szCs w:val="22"/>
        </w:rPr>
      </w:pPr>
      <w:r>
        <w:rPr>
          <w:rFonts w:ascii="Calibri" w:hAnsi="Calibri"/>
          <w:i w:val="false"/>
          <w:iCs w:val="false"/>
          <w:sz w:val="22"/>
          <w:szCs w:val="22"/>
        </w:rPr>
      </w:r>
    </w:p>
    <w:p>
      <w:pPr>
        <w:pStyle w:val="BodyText2"/>
        <w:jc w:val="center"/>
        <w:rPr>
          <w:rFonts w:ascii="Arial" w:hAnsi="Arial" w:cs="Arial"/>
          <w:bCs w:val="false"/>
          <w:caps w:val="false"/>
          <w:smallCaps w:val="false"/>
          <w:sz w:val="20"/>
          <w:szCs w:val="20"/>
        </w:rPr>
      </w:pPr>
      <w:r>
        <w:rPr>
          <w:rFonts w:eastAsia="" w:cs="Arial" w:ascii="Arial" w:hAnsi="Arial" w:eastAsiaTheme="minorHAnsi"/>
          <w:b/>
          <w:bCs w:val="false"/>
          <w:caps w:val="false"/>
          <w:smallCaps w:val="false"/>
          <w:color w:val="auto"/>
          <w:kern w:val="0"/>
          <w:sz w:val="20"/>
          <w:szCs w:val="20"/>
          <w:u w:val="single"/>
          <w:lang w:val="fr-FR" w:eastAsia="en-US" w:bidi="ar-SA"/>
        </w:rPr>
        <w:t xml:space="preserve">Décision modificative n°4 – Budget </w:t>
      </w:r>
      <w:r>
        <w:rPr>
          <w:rFonts w:eastAsia="Times New Roman" w:cs="Arial" w:ascii="Arial" w:hAnsi="Arial"/>
          <w:b/>
          <w:bCs w:val="false"/>
          <w:caps w:val="false"/>
          <w:smallCaps w:val="false"/>
          <w:color w:val="auto"/>
          <w:kern w:val="0"/>
          <w:sz w:val="20"/>
          <w:szCs w:val="20"/>
          <w:u w:val="single"/>
          <w:lang w:val="fr-FR" w:eastAsia="fr-FR" w:bidi="ar-SA"/>
        </w:rPr>
        <w:t>COMMUNE</w:t>
      </w:r>
    </w:p>
    <w:p>
      <w:pPr>
        <w:pStyle w:val="Normal"/>
        <w:widowControl w:val="false"/>
        <w:spacing w:lineRule="atLeast" w:line="240" w:before="240" w:after="200"/>
        <w:jc w:val="both"/>
        <w:rPr>
          <w:rFonts w:cs="Arial"/>
        </w:rPr>
      </w:pPr>
      <w:r>
        <w:rPr>
          <w:rFonts w:cs="Arial"/>
        </w:rPr>
        <w:t xml:space="preserve">Monsieur le Maire propose d’effectuer </w:t>
      </w:r>
      <w:r>
        <w:rPr>
          <w:rFonts w:eastAsia="" w:cs="Arial" w:eastAsiaTheme="minorHAnsi"/>
          <w:color w:val="auto"/>
          <w:kern w:val="0"/>
          <w:sz w:val="22"/>
          <w:szCs w:val="22"/>
          <w:lang w:val="fr-FR" w:eastAsia="en-US" w:bidi="ar-SA"/>
        </w:rPr>
        <w:t xml:space="preserve">les ajustements suivants sur le BP COMMUNE afin d’ouvrir les crédits nécessaires à l’achat d’un véhicule utilitaire, de régulariser l’accroissement des crédits de personnel, et d’ajuster certains crédits destinés aux dépenses obligatoires (prélèvement FPIC et intérêts d’emprunt) : </w:t>
      </w:r>
    </w:p>
    <w:p>
      <w:pPr>
        <w:pStyle w:val="Normal"/>
        <w:rPr/>
      </w:pPr>
      <w:r>
        <w:rPr/>
        <w:t>FONCTIONNEMENT</w:t>
      </w:r>
    </w:p>
    <w:tbl>
      <w:tblPr>
        <w:tblW w:w="9645" w:type="dxa"/>
        <w:jc w:val="left"/>
        <w:tblInd w:w="55" w:type="dxa"/>
        <w:tblCellMar>
          <w:top w:w="55" w:type="dxa"/>
          <w:left w:w="55" w:type="dxa"/>
          <w:bottom w:w="55" w:type="dxa"/>
          <w:right w:w="55" w:type="dxa"/>
        </w:tblCellMar>
      </w:tblPr>
      <w:tblGrid>
        <w:gridCol w:w="3120"/>
        <w:gridCol w:w="1698"/>
        <w:gridCol w:w="2832"/>
        <w:gridCol w:w="1994"/>
      </w:tblGrid>
      <w:tr>
        <w:trPr/>
        <w:tc>
          <w:tcPr>
            <w:tcW w:w="4818" w:type="dxa"/>
            <w:gridSpan w:val="2"/>
            <w:tcBorders>
              <w:top w:val="single" w:sz="2" w:space="0" w:color="000000"/>
              <w:left w:val="single" w:sz="2" w:space="0" w:color="000000"/>
              <w:bottom w:val="single" w:sz="2" w:space="0" w:color="000000"/>
            </w:tcBorders>
          </w:tcPr>
          <w:p>
            <w:pPr>
              <w:pStyle w:val="Contenudetableau"/>
              <w:spacing w:before="0" w:after="200"/>
              <w:jc w:val="center"/>
              <w:rPr/>
            </w:pPr>
            <w:r>
              <w:rPr/>
              <w:t>Dépenses</w:t>
            </w:r>
          </w:p>
        </w:tc>
        <w:tc>
          <w:tcPr>
            <w:tcW w:w="4826" w:type="dxa"/>
            <w:gridSpan w:val="2"/>
            <w:tcBorders>
              <w:top w:val="single" w:sz="2" w:space="0" w:color="000000"/>
              <w:left w:val="single" w:sz="2" w:space="0" w:color="000000"/>
              <w:bottom w:val="single" w:sz="2" w:space="0" w:color="000000"/>
              <w:right w:val="single" w:sz="2" w:space="0" w:color="000000"/>
            </w:tcBorders>
          </w:tcPr>
          <w:p>
            <w:pPr>
              <w:pStyle w:val="Contenudetableau"/>
              <w:spacing w:before="0" w:after="200"/>
              <w:jc w:val="center"/>
              <w:rPr/>
            </w:pPr>
            <w:r>
              <w:rPr/>
              <w:t>Recettes</w:t>
            </w:r>
          </w:p>
        </w:tc>
      </w:tr>
      <w:tr>
        <w:trPr/>
        <w:tc>
          <w:tcPr>
            <w:tcW w:w="3120" w:type="dxa"/>
            <w:tcBorders>
              <w:left w:val="single" w:sz="2" w:space="0" w:color="000000"/>
              <w:bottom w:val="single" w:sz="2" w:space="0" w:color="000000"/>
            </w:tcBorders>
          </w:tcPr>
          <w:p>
            <w:pPr>
              <w:pStyle w:val="Contenudetableau"/>
              <w:spacing w:before="0" w:after="200"/>
              <w:rPr/>
            </w:pPr>
            <w:r>
              <w:rPr/>
              <w:t>023 – Virement à la section d’investissement</w:t>
            </w:r>
          </w:p>
        </w:tc>
        <w:tc>
          <w:tcPr>
            <w:tcW w:w="1698" w:type="dxa"/>
            <w:tcBorders>
              <w:left w:val="single" w:sz="2" w:space="0" w:color="000000"/>
              <w:bottom w:val="single" w:sz="2" w:space="0" w:color="000000"/>
            </w:tcBorders>
          </w:tcPr>
          <w:p>
            <w:pPr>
              <w:pStyle w:val="Contenudetableau"/>
              <w:spacing w:before="0" w:after="200"/>
              <w:jc w:val="right"/>
              <w:rPr/>
            </w:pPr>
            <w:r>
              <w:rPr/>
              <w:t>+ 15 576,00 €</w:t>
            </w:r>
          </w:p>
        </w:tc>
        <w:tc>
          <w:tcPr>
            <w:tcW w:w="2832" w:type="dxa"/>
            <w:tcBorders>
              <w:left w:val="single" w:sz="2" w:space="0" w:color="000000"/>
              <w:bottom w:val="single" w:sz="2" w:space="0" w:color="000000"/>
            </w:tcBorders>
          </w:tcPr>
          <w:p>
            <w:pPr>
              <w:pStyle w:val="Contenudetableau"/>
              <w:spacing w:before="0" w:after="200"/>
              <w:rPr/>
            </w:pPr>
            <w:r>
              <w:rPr/>
              <w:t>74718 - Autres</w:t>
            </w:r>
          </w:p>
        </w:tc>
        <w:tc>
          <w:tcPr>
            <w:tcW w:w="1994" w:type="dxa"/>
            <w:tcBorders>
              <w:left w:val="single" w:sz="2" w:space="0" w:color="000000"/>
              <w:bottom w:val="single" w:sz="2" w:space="0" w:color="000000"/>
              <w:right w:val="single" w:sz="2" w:space="0" w:color="000000"/>
            </w:tcBorders>
          </w:tcPr>
          <w:p>
            <w:pPr>
              <w:pStyle w:val="Contenudetableau"/>
              <w:spacing w:before="0" w:after="200"/>
              <w:jc w:val="right"/>
              <w:rPr/>
            </w:pPr>
            <w:r>
              <w:rPr/>
              <w:t>+ 15 576,00 €</w:t>
            </w:r>
          </w:p>
        </w:tc>
      </w:tr>
      <w:tr>
        <w:trPr>
          <w:trHeight w:val="951" w:hRule="atLeast"/>
        </w:trPr>
        <w:tc>
          <w:tcPr>
            <w:tcW w:w="3120" w:type="dxa"/>
            <w:tcBorders>
              <w:left w:val="single" w:sz="2" w:space="0" w:color="000000"/>
              <w:bottom w:val="single" w:sz="2" w:space="0" w:color="000000"/>
            </w:tcBorders>
          </w:tcPr>
          <w:p>
            <w:pPr>
              <w:pStyle w:val="Contenudetableau"/>
              <w:spacing w:lineRule="auto" w:line="240" w:before="0" w:after="200"/>
              <w:rPr/>
            </w:pPr>
            <w:r>
              <w:rPr/>
              <w:t>7392221 – Fonds de péréquation des ressources communales et intercommunales</w:t>
            </w:r>
          </w:p>
        </w:tc>
        <w:tc>
          <w:tcPr>
            <w:tcW w:w="1698" w:type="dxa"/>
            <w:tcBorders>
              <w:left w:val="single" w:sz="2" w:space="0" w:color="000000"/>
              <w:bottom w:val="single" w:sz="2" w:space="0" w:color="000000"/>
            </w:tcBorders>
          </w:tcPr>
          <w:p>
            <w:pPr>
              <w:pStyle w:val="Contenudetableau"/>
              <w:spacing w:lineRule="auto" w:line="240" w:before="0" w:after="143"/>
              <w:jc w:val="right"/>
              <w:rPr/>
            </w:pPr>
            <w:r>
              <w:rPr/>
              <w:t>+ 2 038,00 €</w:t>
            </w:r>
          </w:p>
        </w:tc>
        <w:tc>
          <w:tcPr>
            <w:tcW w:w="2832" w:type="dxa"/>
            <w:tcBorders>
              <w:left w:val="single" w:sz="2" w:space="0" w:color="000000"/>
              <w:bottom w:val="single" w:sz="2" w:space="0" w:color="000000"/>
            </w:tcBorders>
          </w:tcPr>
          <w:p>
            <w:pPr>
              <w:pStyle w:val="Contenudetableau"/>
              <w:spacing w:lineRule="auto" w:line="240" w:before="0" w:after="200"/>
              <w:rPr/>
            </w:pPr>
            <w:r>
              <w:rPr/>
              <w:t>6419 – Remboursements sur rémunération du personnel</w:t>
            </w:r>
          </w:p>
        </w:tc>
        <w:tc>
          <w:tcPr>
            <w:tcW w:w="1994" w:type="dxa"/>
            <w:tcBorders>
              <w:left w:val="single" w:sz="2" w:space="0" w:color="000000"/>
              <w:bottom w:val="single" w:sz="2" w:space="0" w:color="000000"/>
              <w:right w:val="single" w:sz="2" w:space="0" w:color="000000"/>
            </w:tcBorders>
          </w:tcPr>
          <w:p>
            <w:pPr>
              <w:pStyle w:val="Contenudetableau"/>
              <w:spacing w:lineRule="auto" w:line="240" w:before="0" w:after="200"/>
              <w:jc w:val="right"/>
              <w:rPr/>
            </w:pPr>
            <w:r>
              <w:rPr/>
              <w:t>+ 2 038,00 €</w:t>
            </w:r>
          </w:p>
        </w:tc>
      </w:tr>
      <w:tr>
        <w:trPr>
          <w:trHeight w:val="2044" w:hRule="atLeast"/>
        </w:trPr>
        <w:tc>
          <w:tcPr>
            <w:tcW w:w="3120" w:type="dxa"/>
            <w:tcBorders>
              <w:left w:val="single" w:sz="2" w:space="0" w:color="000000"/>
              <w:bottom w:val="single" w:sz="2" w:space="0" w:color="000000"/>
            </w:tcBorders>
          </w:tcPr>
          <w:p>
            <w:pPr>
              <w:pStyle w:val="Contenudetableau"/>
              <w:spacing w:before="0" w:after="200"/>
              <w:rPr/>
            </w:pPr>
            <w:r>
              <w:rPr/>
              <w:t>6413 – Personnel non titulaire</w:t>
            </w:r>
          </w:p>
        </w:tc>
        <w:tc>
          <w:tcPr>
            <w:tcW w:w="1698" w:type="dxa"/>
            <w:tcBorders>
              <w:left w:val="single" w:sz="2" w:space="0" w:color="000000"/>
              <w:bottom w:val="single" w:sz="2" w:space="0" w:color="000000"/>
            </w:tcBorders>
          </w:tcPr>
          <w:p>
            <w:pPr>
              <w:pStyle w:val="Contenudetableau"/>
              <w:spacing w:before="0" w:after="200"/>
              <w:jc w:val="right"/>
              <w:rPr/>
            </w:pPr>
            <w:r>
              <w:rPr/>
              <w:t>+ 1 263,20 €</w:t>
            </w:r>
          </w:p>
        </w:tc>
        <w:tc>
          <w:tcPr>
            <w:tcW w:w="2832" w:type="dxa"/>
            <w:tcBorders>
              <w:left w:val="single" w:sz="2" w:space="0" w:color="000000"/>
              <w:bottom w:val="single" w:sz="2" w:space="0" w:color="000000"/>
            </w:tcBorders>
          </w:tcPr>
          <w:p>
            <w:pPr>
              <w:pStyle w:val="Contenudetableau"/>
              <w:rPr/>
            </w:pPr>
            <w:r>
              <w:rPr/>
              <w:t>6419 – Remboursements sur rémunération du personnel</w:t>
            </w:r>
          </w:p>
          <w:p>
            <w:pPr>
              <w:pStyle w:val="Contenudetableau"/>
              <w:spacing w:before="0" w:after="200"/>
              <w:rPr/>
            </w:pPr>
            <w:r>
              <w:rPr/>
              <w:t>6459 – Remboursements sur charges de sécurité sociale et de prévoyance</w:t>
            </w:r>
          </w:p>
        </w:tc>
        <w:tc>
          <w:tcPr>
            <w:tcW w:w="1994" w:type="dxa"/>
            <w:tcBorders>
              <w:left w:val="single" w:sz="2" w:space="0" w:color="000000"/>
              <w:bottom w:val="single" w:sz="2" w:space="0" w:color="000000"/>
              <w:right w:val="single" w:sz="2" w:space="0" w:color="000000"/>
            </w:tcBorders>
          </w:tcPr>
          <w:p>
            <w:pPr>
              <w:pStyle w:val="Contenudetableau"/>
              <w:jc w:val="right"/>
              <w:rPr/>
            </w:pPr>
            <w:r>
              <w:rPr/>
              <w:t>+ 635,34 €</w:t>
            </w:r>
          </w:p>
          <w:p>
            <w:pPr>
              <w:pStyle w:val="Contenudetableau"/>
              <w:jc w:val="right"/>
              <w:rPr/>
            </w:pPr>
            <w:r>
              <w:rPr/>
            </w:r>
          </w:p>
          <w:p>
            <w:pPr>
              <w:pStyle w:val="Contenudetableau"/>
              <w:spacing w:before="0" w:after="200"/>
              <w:jc w:val="right"/>
              <w:rPr/>
            </w:pPr>
            <w:r>
              <w:rPr/>
              <w:t>+ 627,86 €</w:t>
            </w:r>
          </w:p>
        </w:tc>
      </w:tr>
      <w:tr>
        <w:trPr>
          <w:trHeight w:val="1126" w:hRule="atLeast"/>
        </w:trPr>
        <w:tc>
          <w:tcPr>
            <w:tcW w:w="3120" w:type="dxa"/>
            <w:tcBorders>
              <w:left w:val="single" w:sz="2" w:space="0" w:color="000000"/>
              <w:bottom w:val="single" w:sz="2" w:space="0" w:color="000000"/>
            </w:tcBorders>
          </w:tcPr>
          <w:p>
            <w:pPr>
              <w:pStyle w:val="Contenudetableau"/>
              <w:rPr/>
            </w:pPr>
            <w:r>
              <w:rPr/>
              <w:t>66111 – Intérêts d’emprunt</w:t>
            </w:r>
          </w:p>
          <w:p>
            <w:pPr>
              <w:pStyle w:val="Contenudetableau"/>
              <w:spacing w:before="0" w:after="200"/>
              <w:rPr/>
            </w:pPr>
            <w:r>
              <w:rPr/>
              <w:t>60633 – Fournitures de voirie</w:t>
            </w:r>
          </w:p>
        </w:tc>
        <w:tc>
          <w:tcPr>
            <w:tcW w:w="1698" w:type="dxa"/>
            <w:tcBorders>
              <w:left w:val="single" w:sz="2" w:space="0" w:color="000000"/>
              <w:bottom w:val="single" w:sz="2" w:space="0" w:color="000000"/>
            </w:tcBorders>
          </w:tcPr>
          <w:p>
            <w:pPr>
              <w:pStyle w:val="Contenudetableau"/>
              <w:jc w:val="right"/>
              <w:rPr/>
            </w:pPr>
            <w:r>
              <w:rPr/>
              <w:t>+ 450,00 €</w:t>
            </w:r>
          </w:p>
          <w:p>
            <w:pPr>
              <w:pStyle w:val="Contenudetableau"/>
              <w:spacing w:before="0" w:after="200"/>
              <w:jc w:val="right"/>
              <w:rPr/>
            </w:pPr>
            <w:r>
              <w:rPr/>
              <w:t>- 450,00 €</w:t>
            </w:r>
          </w:p>
        </w:tc>
        <w:tc>
          <w:tcPr>
            <w:tcW w:w="2832" w:type="dxa"/>
            <w:tcBorders>
              <w:left w:val="single" w:sz="2" w:space="0" w:color="000000"/>
              <w:bottom w:val="single" w:sz="2" w:space="0" w:color="000000"/>
            </w:tcBorders>
          </w:tcPr>
          <w:p>
            <w:pPr>
              <w:pStyle w:val="Contenudetableau"/>
              <w:spacing w:before="0" w:after="200"/>
              <w:rPr/>
            </w:pPr>
            <w:r>
              <w:rPr/>
            </w:r>
          </w:p>
        </w:tc>
        <w:tc>
          <w:tcPr>
            <w:tcW w:w="1994" w:type="dxa"/>
            <w:tcBorders>
              <w:left w:val="single" w:sz="2" w:space="0" w:color="000000"/>
              <w:bottom w:val="single" w:sz="2" w:space="0" w:color="000000"/>
              <w:right w:val="single" w:sz="2" w:space="0" w:color="000000"/>
            </w:tcBorders>
          </w:tcPr>
          <w:p>
            <w:pPr>
              <w:pStyle w:val="Contenudetableau"/>
              <w:spacing w:before="0" w:after="200"/>
              <w:jc w:val="right"/>
              <w:rPr/>
            </w:pPr>
            <w:r>
              <w:rPr/>
            </w:r>
          </w:p>
        </w:tc>
      </w:tr>
      <w:tr>
        <w:trPr/>
        <w:tc>
          <w:tcPr>
            <w:tcW w:w="3120" w:type="dxa"/>
            <w:tcBorders>
              <w:left w:val="single" w:sz="2" w:space="0" w:color="000000"/>
              <w:bottom w:val="single" w:sz="2" w:space="0" w:color="000000"/>
            </w:tcBorders>
          </w:tcPr>
          <w:p>
            <w:pPr>
              <w:pStyle w:val="Contenudetableau"/>
              <w:spacing w:before="0" w:after="200"/>
              <w:jc w:val="left"/>
              <w:rPr>
                <w:b/>
                <w:b/>
                <w:bCs/>
              </w:rPr>
            </w:pPr>
            <w:r>
              <w:rPr>
                <w:b/>
                <w:bCs/>
              </w:rPr>
              <w:t>TOTAL</w:t>
            </w:r>
          </w:p>
        </w:tc>
        <w:tc>
          <w:tcPr>
            <w:tcW w:w="1698" w:type="dxa"/>
            <w:tcBorders>
              <w:left w:val="single" w:sz="2" w:space="0" w:color="000000"/>
              <w:bottom w:val="single" w:sz="2" w:space="0" w:color="000000"/>
            </w:tcBorders>
          </w:tcPr>
          <w:p>
            <w:pPr>
              <w:pStyle w:val="Contenudetableau"/>
              <w:spacing w:before="0" w:after="200"/>
              <w:jc w:val="right"/>
              <w:rPr/>
            </w:pPr>
            <w:r>
              <w:rPr>
                <w:b/>
                <w:bCs/>
              </w:rPr>
              <w:t xml:space="preserve">+ </w:t>
            </w:r>
            <w:r>
              <w:rPr>
                <w:rFonts w:eastAsia="" w:cs="" w:cstheme="minorBidi" w:eastAsiaTheme="minorHAnsi"/>
                <w:b/>
                <w:bCs/>
                <w:color w:val="auto"/>
                <w:kern w:val="0"/>
                <w:sz w:val="22"/>
                <w:szCs w:val="22"/>
                <w:lang w:val="fr-FR" w:eastAsia="en-US" w:bidi="ar-SA"/>
              </w:rPr>
              <w:t>18 877,20</w:t>
            </w:r>
            <w:r>
              <w:rPr>
                <w:b/>
                <w:bCs/>
              </w:rPr>
              <w:t xml:space="preserve"> €</w:t>
            </w:r>
          </w:p>
        </w:tc>
        <w:tc>
          <w:tcPr>
            <w:tcW w:w="2832" w:type="dxa"/>
            <w:tcBorders>
              <w:left w:val="single" w:sz="2" w:space="0" w:color="000000"/>
              <w:bottom w:val="single" w:sz="2" w:space="0" w:color="000000"/>
            </w:tcBorders>
          </w:tcPr>
          <w:p>
            <w:pPr>
              <w:pStyle w:val="Contenudetableau"/>
              <w:spacing w:before="0" w:after="200"/>
              <w:rPr>
                <w:b/>
                <w:b/>
                <w:bCs/>
              </w:rPr>
            </w:pPr>
            <w:r>
              <w:rPr>
                <w:b/>
                <w:bCs/>
              </w:rPr>
              <w:t>TOTAL</w:t>
            </w:r>
          </w:p>
        </w:tc>
        <w:tc>
          <w:tcPr>
            <w:tcW w:w="1994" w:type="dxa"/>
            <w:tcBorders>
              <w:left w:val="single" w:sz="2" w:space="0" w:color="000000"/>
              <w:bottom w:val="single" w:sz="2" w:space="0" w:color="000000"/>
              <w:right w:val="single" w:sz="2" w:space="0" w:color="000000"/>
            </w:tcBorders>
          </w:tcPr>
          <w:p>
            <w:pPr>
              <w:pStyle w:val="Contenudetableau"/>
              <w:spacing w:before="0" w:after="200"/>
              <w:jc w:val="right"/>
              <w:rPr/>
            </w:pPr>
            <w:r>
              <w:rPr>
                <w:b/>
                <w:bCs/>
              </w:rPr>
              <w:t xml:space="preserve">+ </w:t>
            </w:r>
            <w:r>
              <w:rPr>
                <w:rFonts w:eastAsia="" w:cs="" w:cstheme="minorBidi" w:eastAsiaTheme="minorHAnsi"/>
                <w:b/>
                <w:bCs/>
                <w:color w:val="auto"/>
                <w:kern w:val="0"/>
                <w:sz w:val="22"/>
                <w:szCs w:val="22"/>
                <w:lang w:val="fr-FR" w:eastAsia="en-US" w:bidi="ar-SA"/>
              </w:rPr>
              <w:t>18 877,20</w:t>
            </w:r>
            <w:r>
              <w:rPr>
                <w:b/>
                <w:bCs/>
              </w:rPr>
              <w:t xml:space="preserve"> €</w:t>
            </w:r>
          </w:p>
        </w:tc>
      </w:tr>
    </w:tbl>
    <w:p>
      <w:pPr>
        <w:pStyle w:val="Normal"/>
        <w:rPr/>
      </w:pPr>
      <w:r>
        <w:rPr/>
      </w:r>
    </w:p>
    <w:p>
      <w:pPr>
        <w:pStyle w:val="Normal"/>
        <w:rPr/>
      </w:pPr>
      <w:r>
        <w:rPr/>
        <w:t>INVESTISSEMENT</w:t>
      </w:r>
    </w:p>
    <w:tbl>
      <w:tblPr>
        <w:tblW w:w="9645" w:type="dxa"/>
        <w:jc w:val="left"/>
        <w:tblInd w:w="55" w:type="dxa"/>
        <w:tblCellMar>
          <w:top w:w="55" w:type="dxa"/>
          <w:left w:w="55" w:type="dxa"/>
          <w:bottom w:w="55" w:type="dxa"/>
          <w:right w:w="55" w:type="dxa"/>
        </w:tblCellMar>
      </w:tblPr>
      <w:tblGrid>
        <w:gridCol w:w="3120"/>
        <w:gridCol w:w="1698"/>
        <w:gridCol w:w="2832"/>
        <w:gridCol w:w="1994"/>
      </w:tblGrid>
      <w:tr>
        <w:trPr/>
        <w:tc>
          <w:tcPr>
            <w:tcW w:w="4818" w:type="dxa"/>
            <w:gridSpan w:val="2"/>
            <w:tcBorders>
              <w:top w:val="single" w:sz="2" w:space="0" w:color="000000"/>
              <w:left w:val="single" w:sz="2" w:space="0" w:color="000000"/>
              <w:bottom w:val="single" w:sz="2" w:space="0" w:color="000000"/>
            </w:tcBorders>
          </w:tcPr>
          <w:p>
            <w:pPr>
              <w:pStyle w:val="Contenudetableau"/>
              <w:spacing w:before="0" w:after="200"/>
              <w:jc w:val="center"/>
              <w:rPr/>
            </w:pPr>
            <w:r>
              <w:rPr/>
              <w:t>Dépenses</w:t>
            </w:r>
          </w:p>
        </w:tc>
        <w:tc>
          <w:tcPr>
            <w:tcW w:w="4826" w:type="dxa"/>
            <w:gridSpan w:val="2"/>
            <w:tcBorders>
              <w:top w:val="single" w:sz="2" w:space="0" w:color="000000"/>
              <w:left w:val="single" w:sz="2" w:space="0" w:color="000000"/>
              <w:bottom w:val="single" w:sz="2" w:space="0" w:color="000000"/>
              <w:right w:val="single" w:sz="2" w:space="0" w:color="000000"/>
            </w:tcBorders>
          </w:tcPr>
          <w:p>
            <w:pPr>
              <w:pStyle w:val="Contenudetableau"/>
              <w:spacing w:before="0" w:after="200"/>
              <w:jc w:val="center"/>
              <w:rPr/>
            </w:pPr>
            <w:r>
              <w:rPr/>
              <w:t>Recettes</w:t>
            </w:r>
          </w:p>
        </w:tc>
      </w:tr>
      <w:tr>
        <w:trPr/>
        <w:tc>
          <w:tcPr>
            <w:tcW w:w="3120" w:type="dxa"/>
            <w:tcBorders>
              <w:left w:val="single" w:sz="2" w:space="0" w:color="000000"/>
              <w:bottom w:val="single" w:sz="2" w:space="0" w:color="000000"/>
            </w:tcBorders>
          </w:tcPr>
          <w:p>
            <w:pPr>
              <w:pStyle w:val="Contenudetableau"/>
              <w:spacing w:before="0" w:after="200"/>
              <w:rPr/>
            </w:pPr>
            <w:r>
              <w:rPr/>
              <w:t>2182 – Matériel de transport</w:t>
            </w:r>
          </w:p>
        </w:tc>
        <w:tc>
          <w:tcPr>
            <w:tcW w:w="1698" w:type="dxa"/>
            <w:tcBorders>
              <w:left w:val="single" w:sz="2" w:space="0" w:color="000000"/>
              <w:bottom w:val="single" w:sz="2" w:space="0" w:color="000000"/>
            </w:tcBorders>
          </w:tcPr>
          <w:p>
            <w:pPr>
              <w:pStyle w:val="Contenudetableau"/>
              <w:spacing w:before="0" w:after="200"/>
              <w:jc w:val="right"/>
              <w:rPr/>
            </w:pPr>
            <w:r>
              <w:rPr/>
              <w:t>+ 15 576,00 €</w:t>
            </w:r>
          </w:p>
        </w:tc>
        <w:tc>
          <w:tcPr>
            <w:tcW w:w="2832" w:type="dxa"/>
            <w:tcBorders>
              <w:left w:val="single" w:sz="2" w:space="0" w:color="000000"/>
              <w:bottom w:val="single" w:sz="2" w:space="0" w:color="000000"/>
            </w:tcBorders>
          </w:tcPr>
          <w:p>
            <w:pPr>
              <w:pStyle w:val="Contenudetableau"/>
              <w:spacing w:before="0" w:after="200"/>
              <w:rPr/>
            </w:pPr>
            <w:r>
              <w:rPr/>
              <w:t>021 – Virement de la section de fonctionnement</w:t>
            </w:r>
          </w:p>
        </w:tc>
        <w:tc>
          <w:tcPr>
            <w:tcW w:w="1994" w:type="dxa"/>
            <w:tcBorders>
              <w:left w:val="single" w:sz="2" w:space="0" w:color="000000"/>
              <w:bottom w:val="single" w:sz="2" w:space="0" w:color="000000"/>
              <w:right w:val="single" w:sz="2" w:space="0" w:color="000000"/>
            </w:tcBorders>
          </w:tcPr>
          <w:p>
            <w:pPr>
              <w:pStyle w:val="Contenudetableau"/>
              <w:spacing w:before="0" w:after="200"/>
              <w:jc w:val="right"/>
              <w:rPr/>
            </w:pPr>
            <w:r>
              <w:rPr/>
              <w:t>+ 15 576,00 €</w:t>
            </w:r>
          </w:p>
        </w:tc>
      </w:tr>
      <w:tr>
        <w:trPr/>
        <w:tc>
          <w:tcPr>
            <w:tcW w:w="3120" w:type="dxa"/>
            <w:tcBorders>
              <w:left w:val="single" w:sz="2" w:space="0" w:color="000000"/>
              <w:bottom w:val="single" w:sz="2" w:space="0" w:color="000000"/>
            </w:tcBorders>
          </w:tcPr>
          <w:p>
            <w:pPr>
              <w:pStyle w:val="Contenudetableau"/>
              <w:spacing w:before="0" w:after="200"/>
              <w:jc w:val="left"/>
              <w:rPr>
                <w:b/>
                <w:b/>
                <w:bCs/>
              </w:rPr>
            </w:pPr>
            <w:r>
              <w:rPr>
                <w:b/>
                <w:bCs/>
              </w:rPr>
              <w:t>TOTAL</w:t>
            </w:r>
          </w:p>
        </w:tc>
        <w:tc>
          <w:tcPr>
            <w:tcW w:w="1698" w:type="dxa"/>
            <w:tcBorders>
              <w:left w:val="single" w:sz="2" w:space="0" w:color="000000"/>
              <w:bottom w:val="single" w:sz="2" w:space="0" w:color="000000"/>
            </w:tcBorders>
          </w:tcPr>
          <w:p>
            <w:pPr>
              <w:pStyle w:val="Contenudetableau"/>
              <w:spacing w:before="0" w:after="200"/>
              <w:jc w:val="right"/>
              <w:rPr>
                <w:b/>
                <w:b/>
                <w:bCs/>
              </w:rPr>
            </w:pPr>
            <w:r>
              <w:rPr>
                <w:b/>
                <w:bCs/>
              </w:rPr>
              <w:t>+ 15 576,00 €</w:t>
            </w:r>
          </w:p>
        </w:tc>
        <w:tc>
          <w:tcPr>
            <w:tcW w:w="2832" w:type="dxa"/>
            <w:tcBorders>
              <w:left w:val="single" w:sz="2" w:space="0" w:color="000000"/>
              <w:bottom w:val="single" w:sz="2" w:space="0" w:color="000000"/>
            </w:tcBorders>
          </w:tcPr>
          <w:p>
            <w:pPr>
              <w:pStyle w:val="Contenudetableau"/>
              <w:spacing w:before="0" w:after="200"/>
              <w:rPr>
                <w:b/>
                <w:b/>
                <w:bCs/>
              </w:rPr>
            </w:pPr>
            <w:r>
              <w:rPr>
                <w:b/>
                <w:bCs/>
              </w:rPr>
              <w:t>TOTAL</w:t>
            </w:r>
          </w:p>
        </w:tc>
        <w:tc>
          <w:tcPr>
            <w:tcW w:w="1994" w:type="dxa"/>
            <w:tcBorders>
              <w:left w:val="single" w:sz="2" w:space="0" w:color="000000"/>
              <w:bottom w:val="single" w:sz="2" w:space="0" w:color="000000"/>
              <w:right w:val="single" w:sz="2" w:space="0" w:color="000000"/>
            </w:tcBorders>
          </w:tcPr>
          <w:p>
            <w:pPr>
              <w:pStyle w:val="Contenudetableau"/>
              <w:spacing w:before="0" w:after="200"/>
              <w:jc w:val="right"/>
              <w:rPr>
                <w:b/>
                <w:b/>
                <w:bCs/>
              </w:rPr>
            </w:pPr>
            <w:r>
              <w:rPr>
                <w:b/>
                <w:bCs/>
              </w:rPr>
              <w:t>+ 15 576,00 €</w:t>
            </w:r>
          </w:p>
        </w:tc>
      </w:tr>
    </w:tbl>
    <w:p>
      <w:pPr>
        <w:pStyle w:val="Normal"/>
        <w:spacing w:lineRule="auto" w:line="240" w:before="0" w:after="0"/>
        <w:rPr>
          <w:rFonts w:ascii="Calibri" w:hAnsi="Calibri"/>
          <w:sz w:val="22"/>
          <w:szCs w:val="22"/>
        </w:rPr>
      </w:pPr>
      <w:r>
        <w:rPr>
          <w:sz w:val="22"/>
          <w:szCs w:val="22"/>
        </w:rPr>
      </w:r>
    </w:p>
    <w:p>
      <w:pPr>
        <w:pStyle w:val="ListParagraph"/>
        <w:widowControl w:val="false"/>
        <w:numPr>
          <w:ilvl w:val="0"/>
          <w:numId w:val="0"/>
        </w:numPr>
        <w:spacing w:lineRule="auto" w:line="240" w:before="0" w:after="0"/>
        <w:ind w:left="2190" w:right="0" w:hanging="0"/>
        <w:contextualSpacing/>
        <w:jc w:val="both"/>
        <w:rPr>
          <w:rFonts w:eastAsia="Times New Roman" w:cs="Arial"/>
          <w:bCs w:val="false"/>
          <w:color w:val="auto"/>
          <w:kern w:val="0"/>
          <w:sz w:val="22"/>
          <w:szCs w:val="22"/>
          <w:lang w:val="fr-FR" w:eastAsia="fr-FR" w:bidi="ar-SA"/>
        </w:rPr>
      </w:pPr>
      <w:r>
        <w:rPr>
          <w:rFonts w:eastAsia="Times New Roman" w:cs="Arial"/>
          <w:bCs w:val="false"/>
          <w:color w:val="auto"/>
          <w:kern w:val="0"/>
          <w:sz w:val="22"/>
          <w:szCs w:val="22"/>
          <w:lang w:val="fr-FR" w:eastAsia="fr-FR" w:bidi="ar-SA"/>
        </w:rPr>
      </w:r>
    </w:p>
    <w:p>
      <w:pPr>
        <w:pStyle w:val="Normal"/>
        <w:widowControl w:val="false"/>
        <w:spacing w:lineRule="auto" w:line="240" w:before="0" w:after="0"/>
        <w:contextualSpacing/>
        <w:jc w:val="both"/>
        <w:rPr>
          <w:rFonts w:eastAsia="Arial" w:cs="Arial"/>
          <w:b/>
          <w:b/>
          <w:bCs/>
          <w:i/>
          <w:i/>
          <w:iCs/>
        </w:rPr>
      </w:pPr>
      <w:r>
        <w:rPr>
          <w:rStyle w:val="Aucun"/>
          <w:rFonts w:eastAsia="Arial" w:cs="Arial"/>
          <w:b/>
          <w:bCs/>
          <w:i/>
          <w:iCs/>
          <w:spacing w:val="-2"/>
          <w:lang w:eastAsia="fr-FR"/>
        </w:rPr>
        <w:t>Les membres du Conseil Municipal, après avoir délibéré, acceptent ces décisions modificatives.</w:t>
      </w:r>
    </w:p>
    <w:p>
      <w:pPr>
        <w:pStyle w:val="ListParagraph"/>
        <w:shd w:val="clear" w:color="auto" w:fill="FFFFFF"/>
        <w:tabs>
          <w:tab w:val="clear" w:pos="708"/>
          <w:tab w:val="left" w:pos="6480" w:leader="none"/>
        </w:tabs>
        <w:spacing w:lineRule="auto" w:line="240" w:beforeAutospacing="0" w:before="0" w:afterAutospacing="0" w:after="0"/>
        <w:ind w:left="1440" w:right="0" w:hanging="0"/>
        <w:contextualSpacing/>
        <w:jc w:val="both"/>
        <w:rPr>
          <w:rFonts w:eastAsia="Arial" w:cs="Arial"/>
          <w:b/>
          <w:b/>
          <w:bCs/>
          <w:i/>
          <w:i/>
          <w:iCs/>
        </w:rPr>
      </w:pPr>
      <w:r>
        <w:rPr>
          <w:rFonts w:eastAsia="Arial" w:cs="Arial"/>
          <w:b/>
          <w:bCs/>
          <w:i/>
          <w:iCs/>
        </w:rPr>
      </w:r>
    </w:p>
    <w:p>
      <w:pPr>
        <w:pStyle w:val="ListParagraph"/>
        <w:shd w:val="clear" w:color="auto" w:fill="FFFFFF"/>
        <w:tabs>
          <w:tab w:val="clear" w:pos="708"/>
          <w:tab w:val="left" w:pos="6480" w:leader="none"/>
        </w:tabs>
        <w:spacing w:lineRule="auto" w:line="240" w:beforeAutospacing="0" w:before="0" w:afterAutospacing="0" w:after="0"/>
        <w:ind w:left="1440" w:right="0" w:hanging="0"/>
        <w:contextualSpacing/>
        <w:jc w:val="both"/>
        <w:rPr>
          <w:rFonts w:eastAsia="Arial" w:cs="Arial"/>
          <w:b/>
          <w:b/>
          <w:bCs/>
          <w:i/>
          <w:i/>
          <w:iCs/>
        </w:rPr>
      </w:pPr>
      <w:r>
        <w:rPr>
          <w:rFonts w:eastAsia="Arial" w:cs="Arial"/>
          <w:b/>
          <w:bCs/>
          <w:i/>
          <w:iCs/>
        </w:rPr>
      </w:r>
    </w:p>
    <w:p>
      <w:pPr>
        <w:pStyle w:val="ListParagraph"/>
        <w:shd w:val="clear" w:color="auto" w:fill="FFFFFF"/>
        <w:tabs>
          <w:tab w:val="clear" w:pos="708"/>
          <w:tab w:val="left" w:pos="6480" w:leader="none"/>
        </w:tabs>
        <w:spacing w:lineRule="auto" w:line="240" w:beforeAutospacing="0" w:before="0" w:afterAutospacing="0" w:after="0"/>
        <w:ind w:left="720" w:right="0" w:hanging="0"/>
        <w:contextualSpacing/>
        <w:jc w:val="both"/>
        <w:rPr>
          <w:rFonts w:eastAsia="Arial" w:cs="Arial"/>
          <w:b w:val="false"/>
          <w:b w:val="false"/>
          <w:bCs w:val="false"/>
          <w:i w:val="false"/>
          <w:i w:val="false"/>
          <w:iCs w:val="false"/>
        </w:rPr>
      </w:pPr>
      <w:r>
        <w:rPr>
          <w:rFonts w:eastAsia="Arial" w:cs="Arial"/>
          <w:b w:val="false"/>
          <w:bCs w:val="false"/>
          <w:i w:val="false"/>
          <w:iCs w:val="false"/>
        </w:rPr>
        <w:t>Pour : 10</w:t>
      </w:r>
    </w:p>
    <w:p>
      <w:pPr>
        <w:pStyle w:val="ListParagraph"/>
        <w:shd w:val="clear" w:color="auto" w:fill="FFFFFF"/>
        <w:tabs>
          <w:tab w:val="clear" w:pos="708"/>
          <w:tab w:val="left" w:pos="6480" w:leader="none"/>
        </w:tabs>
        <w:spacing w:lineRule="auto" w:line="240" w:beforeAutospacing="0" w:before="0" w:afterAutospacing="0" w:after="0"/>
        <w:ind w:left="720" w:right="0" w:hanging="0"/>
        <w:contextualSpacing/>
        <w:jc w:val="both"/>
        <w:rPr>
          <w:rFonts w:eastAsia="Arial" w:cs="Arial"/>
          <w:b w:val="false"/>
          <w:b w:val="false"/>
          <w:bCs w:val="false"/>
          <w:i w:val="false"/>
          <w:i w:val="false"/>
          <w:iCs w:val="false"/>
        </w:rPr>
      </w:pPr>
      <w:r>
        <w:rPr>
          <w:rFonts w:eastAsia="Arial" w:cs="Arial"/>
          <w:b w:val="false"/>
          <w:bCs w:val="false"/>
          <w:i w:val="false"/>
          <w:iCs w:val="false"/>
        </w:rPr>
        <w:t>Contre : 0</w:t>
      </w:r>
    </w:p>
    <w:p>
      <w:pPr>
        <w:pStyle w:val="ListParagraph"/>
        <w:shd w:val="clear" w:color="auto" w:fill="FFFFFF"/>
        <w:tabs>
          <w:tab w:val="clear" w:pos="708"/>
          <w:tab w:val="left" w:pos="6480" w:leader="none"/>
        </w:tabs>
        <w:spacing w:lineRule="auto" w:line="240" w:beforeAutospacing="0" w:before="0" w:afterAutospacing="0" w:after="0"/>
        <w:ind w:left="720" w:right="0" w:hanging="0"/>
        <w:contextualSpacing/>
        <w:jc w:val="both"/>
        <w:rPr>
          <w:rFonts w:eastAsia="Arial" w:cs="Arial"/>
          <w:b w:val="false"/>
          <w:b w:val="false"/>
          <w:bCs w:val="false"/>
          <w:i w:val="false"/>
          <w:i w:val="false"/>
          <w:iCs w:val="false"/>
        </w:rPr>
      </w:pPr>
      <w:r>
        <w:rPr>
          <w:rFonts w:eastAsia="Arial" w:cs="Arial"/>
          <w:b w:val="false"/>
          <w:bCs w:val="false"/>
          <w:i w:val="false"/>
          <w:iCs w:val="false"/>
        </w:rPr>
        <w:t>Abstentions : 0</w:t>
      </w:r>
    </w:p>
    <w:p>
      <w:pPr>
        <w:pStyle w:val="ListParagraph"/>
        <w:shd w:val="clear" w:color="auto" w:fill="FFFFFF"/>
        <w:tabs>
          <w:tab w:val="clear" w:pos="708"/>
          <w:tab w:val="left" w:pos="6480" w:leader="none"/>
        </w:tabs>
        <w:spacing w:lineRule="auto" w:line="240" w:beforeAutospacing="0" w:before="0" w:afterAutospacing="0" w:after="0"/>
        <w:ind w:left="1440" w:right="0" w:hanging="0"/>
        <w:contextualSpacing/>
        <w:jc w:val="both"/>
        <w:rPr>
          <w:rStyle w:val="Aucun"/>
          <w:rFonts w:eastAsia="Arial" w:cs="Arial"/>
          <w:b/>
          <w:b/>
          <w:bCs/>
          <w:i/>
          <w:i/>
          <w:iCs/>
        </w:rPr>
      </w:pPr>
      <w:r>
        <w:rPr>
          <w:rFonts w:eastAsia="Arial" w:cs="Arial"/>
          <w:b/>
          <w:bCs/>
          <w:i/>
          <w:iCs/>
        </w:rPr>
      </w:r>
    </w:p>
    <w:p>
      <w:pPr>
        <w:pStyle w:val="Normal"/>
        <w:spacing w:lineRule="auto" w:line="240" w:before="0" w:after="0"/>
        <w:jc w:val="left"/>
        <w:rPr>
          <w:rStyle w:val="Aucun"/>
          <w:b w:val="false"/>
          <w:b w:val="false"/>
          <w:bCs w:val="false"/>
          <w:u w:val="none"/>
        </w:rPr>
      </w:pPr>
      <w:r>
        <w:rPr>
          <w:b w:val="false"/>
          <w:bCs w:val="false"/>
          <w:u w:val="none"/>
        </w:rPr>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Style w:val="Aucun"/>
          <w:rFonts w:eastAsia="Times New Roman" w:cs="Arial"/>
          <w:b/>
          <w:bCs/>
          <w:i w:val="false"/>
          <w:iCs w:val="false"/>
          <w:sz w:val="22"/>
          <w:szCs w:val="22"/>
          <w:u w:val="none"/>
          <w:lang w:val="fr-FR" w:eastAsia="fr-FR"/>
        </w:rPr>
        <w:t>QUESTIONS DIVERSES</w:t>
      </w:r>
    </w:p>
    <w:p>
      <w:pPr>
        <w:pStyle w:val="Normal"/>
        <w:spacing w:lineRule="auto" w:line="240" w:before="0" w:after="0"/>
        <w:jc w:val="both"/>
        <w:rPr>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Style w:val="Aucun"/>
          <w:rFonts w:eastAsia="Times New Roman" w:cs="Arial"/>
          <w:b w:val="false"/>
          <w:bCs w:val="false"/>
          <w:i w:val="false"/>
          <w:iCs w:val="false"/>
          <w:sz w:val="22"/>
          <w:szCs w:val="22"/>
          <w:u w:val="none"/>
          <w:lang w:val="fr-FR" w:eastAsia="fr-FR"/>
        </w:rPr>
        <w:t xml:space="preserve">M. le Maire informe le Conseil que les travaux </w:t>
      </w:r>
      <w:r>
        <w:rPr>
          <w:rStyle w:val="Aucun"/>
          <w:rFonts w:eastAsia="Times New Roman" w:cs="Arial"/>
          <w:b w:val="false"/>
          <w:bCs w:val="false"/>
          <w:i w:val="false"/>
          <w:iCs w:val="false"/>
          <w:sz w:val="22"/>
          <w:szCs w:val="22"/>
          <w:u w:val="none"/>
          <w:lang w:val="fr-FR" w:eastAsia="fr-FR"/>
        </w:rPr>
        <w:t>d</w:t>
      </w:r>
      <w:r>
        <w:rPr>
          <w:rStyle w:val="Aucun"/>
          <w:rFonts w:eastAsia="Times New Roman" w:cs="Arial"/>
          <w:b w:val="false"/>
          <w:bCs w:val="false"/>
          <w:i w:val="false"/>
          <w:iCs w:val="false"/>
          <w:sz w:val="22"/>
          <w:szCs w:val="22"/>
          <w:u w:val="none"/>
          <w:lang w:val="fr-FR" w:eastAsia="fr-FR"/>
        </w:rPr>
        <w:t>e rénovation de la toiture de l’Église sont en cou</w:t>
      </w:r>
      <w:r>
        <w:rPr>
          <w:rStyle w:val="Aucun"/>
          <w:rFonts w:eastAsia="Times New Roman" w:cs="Arial"/>
          <w:b w:val="false"/>
          <w:bCs w:val="false"/>
          <w:i w:val="false"/>
          <w:iCs w:val="false"/>
          <w:sz w:val="22"/>
          <w:szCs w:val="22"/>
          <w:u w:val="none"/>
          <w:lang w:val="fr-FR" w:eastAsia="fr-FR"/>
        </w:rPr>
        <w:t>r</w:t>
      </w:r>
      <w:r>
        <w:rPr>
          <w:rStyle w:val="Aucun"/>
          <w:rFonts w:eastAsia="Times New Roman" w:cs="Arial"/>
          <w:b w:val="false"/>
          <w:bCs w:val="false"/>
          <w:i w:val="false"/>
          <w:iCs w:val="false"/>
          <w:sz w:val="22"/>
          <w:szCs w:val="22"/>
          <w:u w:val="none"/>
          <w:lang w:val="fr-FR" w:eastAsia="fr-FR"/>
        </w:rPr>
        <w:t>s et devraient se terminer avant la fin 2023.</w:t>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Style w:val="Aucun"/>
          <w:rFonts w:eastAsia="Times New Roman" w:cs="Arial"/>
          <w:b w:val="false"/>
          <w:bCs w:val="false"/>
          <w:i w:val="false"/>
          <w:iCs w:val="false"/>
          <w:sz w:val="22"/>
          <w:szCs w:val="22"/>
          <w:u w:val="none"/>
          <w:lang w:val="fr-FR" w:eastAsia="fr-FR"/>
        </w:rPr>
        <w:t>M. le Maire informe le Conseil que la prochaine session ordinaire se tiendra avant le 10 décembre afin de proposer une décision modificative consacrée aux amortissements comptables et le changement de nomenclature comptable de la Commune (passage en M57 développée).</w:t>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Style w:val="Aucun"/>
          <w:rFonts w:eastAsia="Times New Roman" w:cs="Arial"/>
          <w:b w:val="false"/>
          <w:bCs w:val="false"/>
          <w:i w:val="false"/>
          <w:iCs w:val="false"/>
          <w:sz w:val="22"/>
          <w:szCs w:val="22"/>
          <w:u w:val="none"/>
          <w:lang w:val="fr-FR" w:eastAsia="fr-FR"/>
        </w:rPr>
        <w:t>M. le Maire informe le Conseil que les décorations de Noël seront posées courant décembre (guirlandes et Pères Noëls).</w:t>
      </w:r>
    </w:p>
    <w:p>
      <w:pPr>
        <w:pStyle w:val="Normal"/>
        <w:spacing w:lineRule="auto" w:line="240" w:before="0" w:after="0"/>
        <w:jc w:val="both"/>
        <w:rPr>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Style w:val="Aucun"/>
          <w:rFonts w:eastAsia="Times New Roman" w:cs="Arial"/>
          <w:b w:val="false"/>
          <w:bCs w:val="false"/>
          <w:i w:val="false"/>
          <w:iCs w:val="false"/>
          <w:sz w:val="22"/>
          <w:szCs w:val="22"/>
          <w:u w:val="none"/>
          <w:lang w:val="fr-FR" w:eastAsia="fr-FR"/>
        </w:rPr>
        <w:t>L’ordre du jour étant épuisé, la séance est levée à</w:t>
      </w:r>
      <w:r>
        <w:rPr>
          <w:rStyle w:val="Aucun"/>
          <w:rFonts w:eastAsia="Times New Roman" w:cs="Arial"/>
          <w:b/>
          <w:bCs/>
          <w:i w:val="false"/>
          <w:iCs w:val="false"/>
          <w:sz w:val="22"/>
          <w:szCs w:val="22"/>
          <w:u w:val="none"/>
          <w:lang w:val="fr-FR" w:eastAsia="fr-FR"/>
        </w:rPr>
        <w:t xml:space="preserve"> </w:t>
      </w:r>
      <w:r>
        <w:rPr>
          <w:rStyle w:val="Aucun"/>
          <w:rFonts w:eastAsia="Times New Roman" w:cs="Arial"/>
          <w:b w:val="false"/>
          <w:bCs w:val="false"/>
          <w:i w:val="false"/>
          <w:iCs w:val="false"/>
          <w:sz w:val="22"/>
          <w:szCs w:val="22"/>
          <w:u w:val="none"/>
          <w:lang w:val="fr-FR" w:eastAsia="fr-FR"/>
        </w:rPr>
        <w:t>21H10.</w:t>
      </w:r>
    </w:p>
    <w:p>
      <w:pPr>
        <w:pStyle w:val="Normal"/>
        <w:spacing w:lineRule="auto" w:line="240" w:before="0" w:after="0"/>
        <w:jc w:val="both"/>
        <w:rPr>
          <w:rFonts w:eastAsia="Times New Roman" w:cs="Arial"/>
          <w:b w:val="false"/>
          <w:b w:val="false"/>
          <w:bCs w:val="false"/>
          <w:i w:val="false"/>
          <w:i w:val="false"/>
          <w:iCs w:val="false"/>
          <w:sz w:val="22"/>
          <w:szCs w:val="22"/>
          <w:u w:val="none"/>
          <w:lang w:val="fr-FR" w:eastAsia="fr-FR"/>
        </w:rPr>
      </w:pPr>
      <w:r>
        <w:rPr>
          <w:rFonts w:eastAsia="Times New Roman" w:cs="Arial"/>
          <w:b w:val="false"/>
          <w:bCs w:val="false"/>
          <w:i w:val="false"/>
          <w:iCs w:val="false"/>
          <w:sz w:val="22"/>
          <w:szCs w:val="22"/>
          <w:u w:val="none"/>
          <w:lang w:val="fr-FR" w:eastAsia="fr-FR"/>
        </w:rPr>
      </w:r>
    </w:p>
    <w:p>
      <w:pPr>
        <w:pStyle w:val="Normal"/>
        <w:spacing w:lineRule="auto" w:line="240" w:before="0" w:after="0"/>
        <w:jc w:val="both"/>
        <w:rPr>
          <w:rFonts w:eastAsia="Times New Roman" w:cs="Arial"/>
          <w:b/>
          <w:b/>
          <w:bCs/>
          <w:i w:val="false"/>
          <w:i w:val="false"/>
          <w:iCs w:val="false"/>
          <w:sz w:val="22"/>
          <w:szCs w:val="22"/>
          <w:u w:val="none"/>
          <w:lang w:val="fr-FR" w:eastAsia="fr-FR"/>
        </w:rPr>
      </w:pPr>
      <w:r>
        <w:rPr>
          <w:rStyle w:val="Aucun"/>
          <w:rFonts w:eastAsia="Times New Roman" w:cs="Arial"/>
          <w:b w:val="false"/>
          <w:bCs w:val="false"/>
          <w:i w:val="false"/>
          <w:iCs w:val="false"/>
          <w:sz w:val="22"/>
          <w:szCs w:val="22"/>
          <w:u w:val="none"/>
          <w:lang w:val="fr-FR" w:eastAsia="fr-FR"/>
        </w:rPr>
        <w:t>La prochaine séance du Conseil Municipal est prévue le jeudi 7 décembre 2023.</w:t>
      </w:r>
    </w:p>
    <w:p>
      <w:pPr>
        <w:pStyle w:val="Normal"/>
        <w:spacing w:lineRule="auto" w:line="240" w:before="0" w:after="0"/>
        <w:jc w:val="both"/>
        <w:rPr>
          <w:rStyle w:val="Aucun"/>
          <w:rFonts w:eastAsia="Times New Roman" w:cs="Arial"/>
          <w:b/>
          <w:b/>
          <w:bCs/>
          <w:i w:val="false"/>
          <w:i w:val="false"/>
          <w:iCs w:val="false"/>
          <w:sz w:val="22"/>
          <w:szCs w:val="22"/>
          <w:u w:val="none"/>
          <w:lang w:val="fr-FR" w:eastAsia="fr-FR"/>
        </w:rPr>
      </w:pPr>
      <w:r>
        <w:rPr>
          <w:rFonts w:eastAsia="Times New Roman" w:cs="Arial"/>
          <w:b/>
          <w:bCs/>
          <w:i w:val="false"/>
          <w:iCs w:val="false"/>
          <w:sz w:val="22"/>
          <w:szCs w:val="22"/>
          <w:u w:val="none"/>
          <w:lang w:val="fr-FR" w:eastAsia="fr-FR"/>
        </w:rPr>
      </w:r>
    </w:p>
    <w:p>
      <w:pPr>
        <w:pStyle w:val="Normal"/>
        <w:spacing w:lineRule="auto" w:line="240" w:before="0" w:after="0"/>
        <w:jc w:val="both"/>
        <w:rPr>
          <w:rStyle w:val="Aucun"/>
          <w:rFonts w:ascii="Calibri" w:hAnsi="Calibri" w:eastAsia="Times New Roman" w:cs="Arial"/>
          <w:b/>
          <w:b/>
          <w:bCs/>
          <w:i w:val="false"/>
          <w:i w:val="false"/>
          <w:iCs w:val="false"/>
          <w:sz w:val="22"/>
          <w:szCs w:val="22"/>
          <w:u w:val="single"/>
          <w:lang w:val="fr-FR" w:eastAsia="fr-FR"/>
        </w:rPr>
      </w:pPr>
      <w:r>
        <w:rPr>
          <w:rFonts w:eastAsia="Times New Roman" w:cs="Arial"/>
          <w:b/>
          <w:bCs/>
          <w:i w:val="false"/>
          <w:iCs w:val="false"/>
          <w:sz w:val="22"/>
          <w:szCs w:val="22"/>
          <w:u w:val="single"/>
          <w:lang w:val="fr-FR" w:eastAsia="fr-FR"/>
        </w:rPr>
      </w:r>
    </w:p>
    <w:p>
      <w:pPr>
        <w:pStyle w:val="Normal"/>
        <w:spacing w:lineRule="auto" w:line="240" w:before="0" w:after="0"/>
        <w:jc w:val="both"/>
        <w:rPr>
          <w:rStyle w:val="Aucun"/>
          <w:rFonts w:ascii="Calibri" w:hAnsi="Calibri"/>
          <w:sz w:val="22"/>
          <w:szCs w:val="22"/>
        </w:rPr>
      </w:pPr>
      <w:r>
        <w:rPr>
          <w:sz w:val="22"/>
          <w:szCs w:val="22"/>
        </w:rPr>
      </w:r>
    </w:p>
    <w:p>
      <w:pPr>
        <w:pStyle w:val="Normal"/>
        <w:spacing w:lineRule="auto" w:line="240" w:before="0" w:after="0"/>
        <w:jc w:val="both"/>
        <w:rPr>
          <w:rStyle w:val="Aucun"/>
          <w:rFonts w:ascii="Calibri" w:hAnsi="Calibri"/>
          <w:sz w:val="22"/>
          <w:szCs w:val="22"/>
        </w:rPr>
      </w:pPr>
      <w:r>
        <w:rPr>
          <w:sz w:val="22"/>
          <w:szCs w:val="22"/>
        </w:rPr>
      </w:r>
    </w:p>
    <w:p>
      <w:pPr>
        <w:pStyle w:val="Style11"/>
        <w:spacing w:before="0" w:after="0"/>
        <w:rPr>
          <w:rFonts w:ascii="Calibri" w:hAnsi="Calibri"/>
          <w:sz w:val="22"/>
          <w:szCs w:val="22"/>
        </w:rPr>
      </w:pPr>
      <w:r>
        <w:rPr/>
      </w:r>
    </w:p>
    <w:sectPr>
      <w:footerReference w:type="default" r:id="rId2"/>
      <w:type w:val="nextPage"/>
      <w:pgSz w:w="11906" w:h="16838"/>
      <w:pgMar w:left="1417" w:right="1417" w:header="0" w:top="737" w:footer="737" w:bottom="14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Footlight MT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0"/>
        <w:left w:val="single" w:sz="4" w:space="4" w:color="000000"/>
        <w:bottom w:val="single" w:sz="4" w:space="1" w:color="000000"/>
        <w:right w:val="single" w:sz="4" w:space="4" w:color="000000"/>
      </w:pBdr>
      <w:tabs>
        <w:tab w:val="clear" w:pos="708"/>
        <w:tab w:val="left" w:pos="3330" w:leader="none"/>
      </w:tabs>
      <w:suppressAutoHyphens w:val="false"/>
      <w:overflowPunct w:val="false"/>
      <w:spacing w:lineRule="auto" w:line="240" w:before="0" w:after="0"/>
      <w:ind w:left="0" w:right="0" w:firstLine="360"/>
      <w:jc w:val="right"/>
      <w:rPr/>
    </w:pPr>
    <w:r>
      <w:rPr>
        <w:rFonts w:eastAsia="Times New Roman" w:cs="Arial" w:ascii="Arial" w:hAnsi="Arial"/>
        <w:sz w:val="18"/>
        <w:szCs w:val="18"/>
        <w:lang w:eastAsia="fr-FR"/>
      </w:rPr>
      <w:t>Séance du 23 novembre</w:t>
    </w:r>
    <w:r>
      <w:rPr>
        <w:rFonts w:eastAsia="Times New Roman" w:cs="Arial" w:ascii="Arial" w:hAnsi="Arial"/>
        <w:color w:val="auto"/>
        <w:kern w:val="0"/>
        <w:sz w:val="18"/>
        <w:szCs w:val="18"/>
        <w:lang w:val="fr-FR" w:eastAsia="fr-FR" w:bidi="ar-SA"/>
      </w:rPr>
      <w:t xml:space="preserve"> 2023</w:t>
    </w:r>
    <w:r>
      <w:rPr>
        <w:rFonts w:eastAsia="Times New Roman" w:cs="Arial" w:ascii="Arial" w:hAnsi="Arial"/>
        <w:sz w:val="18"/>
        <w:szCs w:val="18"/>
        <w:lang w:eastAsia="fr-FR"/>
      </w:rPr>
      <w:t xml:space="preserve">  – Page </w:t>
    </w:r>
    <w:r>
      <w:rPr>
        <w:rFonts w:eastAsia="Times New Roman" w:cs="Arial" w:ascii="Arial" w:hAnsi="Arial"/>
        <w:sz w:val="18"/>
        <w:szCs w:val="18"/>
        <w:lang w:eastAsia="fr-FR"/>
      </w:rPr>
      <w:fldChar w:fldCharType="begin"/>
    </w:r>
    <w:r>
      <w:rPr>
        <w:sz w:val="18"/>
        <w:szCs w:val="18"/>
        <w:rFonts w:eastAsia="Times New Roman" w:cs="Arial" w:ascii="Arial" w:hAnsi="Arial"/>
        <w:lang w:eastAsia="fr-FR"/>
      </w:rPr>
      <w:instrText> PAGE </w:instrText>
    </w:r>
    <w:r>
      <w:rPr>
        <w:sz w:val="18"/>
        <w:szCs w:val="18"/>
        <w:rFonts w:eastAsia="Times New Roman" w:cs="Arial" w:ascii="Arial" w:hAnsi="Arial"/>
        <w:lang w:eastAsia="fr-FR"/>
      </w:rPr>
      <w:fldChar w:fldCharType="separate"/>
    </w:r>
    <w:r>
      <w:rPr>
        <w:sz w:val="18"/>
        <w:szCs w:val="18"/>
        <w:rFonts w:eastAsia="Times New Roman" w:cs="Arial" w:ascii="Arial" w:hAnsi="Arial"/>
        <w:lang w:eastAsia="fr-FR"/>
      </w:rPr>
      <w:t>3</w:t>
    </w:r>
    <w:r>
      <w:rPr>
        <w:sz w:val="18"/>
        <w:szCs w:val="18"/>
        <w:rFonts w:eastAsia="Times New Roman" w:cs="Arial" w:ascii="Arial" w:hAnsi="Arial"/>
        <w:lang w:eastAsia="fr-FR"/>
      </w:rPr>
      <w:fldChar w:fldCharType="end"/>
    </w:r>
    <w:r>
      <w:rPr>
        <w:rFonts w:eastAsia="Times New Roman" w:cs="Arial" w:ascii="Arial" w:hAnsi="Arial"/>
        <w:sz w:val="18"/>
        <w:szCs w:val="18"/>
        <w:lang w:eastAsia="fr-FR"/>
      </w:rPr>
      <w:t>/</w:t>
    </w:r>
    <w:r>
      <w:rPr>
        <w:rFonts w:eastAsia="Times New Roman" w:cs="Arial" w:ascii="Arial" w:hAnsi="Arial"/>
        <w:sz w:val="18"/>
        <w:szCs w:val="18"/>
        <w:lang w:eastAsia="fr-FR"/>
      </w:rPr>
      <w:fldChar w:fldCharType="begin"/>
    </w:r>
    <w:r>
      <w:rPr>
        <w:sz w:val="18"/>
        <w:szCs w:val="18"/>
        <w:rFonts w:eastAsia="Times New Roman" w:cs="Arial" w:ascii="Arial" w:hAnsi="Arial"/>
        <w:lang w:eastAsia="fr-FR"/>
      </w:rPr>
      <w:instrText> NUMPAGES </w:instrText>
    </w:r>
    <w:r>
      <w:rPr>
        <w:sz w:val="18"/>
        <w:szCs w:val="18"/>
        <w:rFonts w:eastAsia="Times New Roman" w:cs="Arial" w:ascii="Arial" w:hAnsi="Arial"/>
        <w:lang w:eastAsia="fr-FR"/>
      </w:rPr>
      <w:fldChar w:fldCharType="separate"/>
    </w:r>
    <w:r>
      <w:rPr>
        <w:sz w:val="18"/>
        <w:szCs w:val="18"/>
        <w:rFonts w:eastAsia="Times New Roman" w:cs="Arial" w:ascii="Arial" w:hAnsi="Arial"/>
        <w:lang w:eastAsia="fr-FR"/>
      </w:rPr>
      <w:t>3</w:t>
    </w:r>
    <w:r>
      <w:rPr>
        <w:sz w:val="18"/>
        <w:szCs w:val="18"/>
        <w:rFonts w:eastAsia="Times New Roman" w:cs="Arial" w:ascii="Arial" w:hAnsi="Arial"/>
        <w:lang w:eastAsia="fr-FR"/>
      </w:rP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suff w:val="nothing"/>
      <w:lvlText w:val=""/>
      <w:lvlJc w:val="left"/>
      <w:pPr>
        <w:ind w:left="0" w:hanging="0"/>
      </w:pPr>
      <w:rPr>
        <w:rFonts w:ascii="Symbol" w:hAnsi="Symbol" w:cs="Symbol" w:hint="default"/>
        <w:rFonts w:cs="Open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349" w:hanging="360"/>
      </w:pPr>
      <w:rPr>
        <w:rFonts w:ascii="Wingdings" w:hAnsi="Wingdings" w:cs="Wingdings" w:hint="default"/>
        <w:rFonts w:cs="OpenSymbol"/>
      </w:rPr>
    </w:lvl>
    <w:lvl w:ilvl="1">
      <w:start w:val="1"/>
      <w:numFmt w:val="bullet"/>
      <w:lvlText w:val=""/>
      <w:lvlJc w:val="left"/>
      <w:pPr>
        <w:ind w:left="1069" w:hanging="360"/>
      </w:pPr>
      <w:rPr>
        <w:rFonts w:ascii="Wingdings" w:hAnsi="Wingdings" w:cs="Wingdings" w:hint="default"/>
        <w:rFonts w:cs="OpenSymbol"/>
      </w:rPr>
    </w:lvl>
    <w:lvl w:ilvl="2">
      <w:start w:val="1"/>
      <w:numFmt w:val="lowerRoman"/>
      <w:lvlText w:val="%3."/>
      <w:lvlJc w:val="right"/>
      <w:pPr>
        <w:ind w:left="1789" w:hanging="180"/>
      </w:pPr>
    </w:lvl>
    <w:lvl w:ilvl="3">
      <w:start w:val="1"/>
      <w:numFmt w:val="decimal"/>
      <w:lvlText w:val="%4."/>
      <w:lvlJc w:val="left"/>
      <w:pPr>
        <w:ind w:left="2509" w:hanging="360"/>
      </w:pPr>
    </w:lvl>
    <w:lvl w:ilvl="4">
      <w:start w:val="1"/>
      <w:numFmt w:val="lowerLetter"/>
      <w:lvlText w:val="%5."/>
      <w:lvlJc w:val="left"/>
      <w:pPr>
        <w:ind w:left="3229" w:hanging="360"/>
      </w:pPr>
    </w:lvl>
    <w:lvl w:ilvl="5">
      <w:start w:val="1"/>
      <w:numFmt w:val="lowerRoman"/>
      <w:lvlText w:val="%6."/>
      <w:lvlJc w:val="right"/>
      <w:pPr>
        <w:ind w:left="3949" w:hanging="180"/>
      </w:pPr>
    </w:lvl>
    <w:lvl w:ilvl="6">
      <w:start w:val="1"/>
      <w:numFmt w:val="decimal"/>
      <w:lvlText w:val="%7."/>
      <w:lvlJc w:val="left"/>
      <w:pPr>
        <w:ind w:left="4669" w:hanging="360"/>
      </w:pPr>
    </w:lvl>
    <w:lvl w:ilvl="7">
      <w:start w:val="1"/>
      <w:numFmt w:val="lowerLetter"/>
      <w:lvlText w:val="%8."/>
      <w:lvlJc w:val="left"/>
      <w:pPr>
        <w:ind w:left="5389" w:hanging="360"/>
      </w:pPr>
    </w:lvl>
    <w:lvl w:ilvl="8">
      <w:start w:val="1"/>
      <w:numFmt w:val="lowerRoman"/>
      <w:lvlText w:val="%9."/>
      <w:lvlJc w:val="right"/>
      <w:pPr>
        <w:ind w:left="6109"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0"/>
        <w:szCs w:val="22"/>
        <w:lang w:val="fr-FR"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52" w:before="0" w:after="160"/>
      <w:jc w:val="left"/>
      <w:textAlignment w:val="baseline"/>
    </w:pPr>
    <w:rPr>
      <w:rFonts w:ascii="Calibri" w:hAnsi="Calibri" w:eastAsia="Calibri" w:cs="Times New Roman"/>
      <w:color w:val="auto"/>
      <w:kern w:val="0"/>
      <w:sz w:val="22"/>
      <w:szCs w:val="22"/>
      <w:lang w:val="fr-FR" w:eastAsia="en-US" w:bidi="ar-SA"/>
    </w:rPr>
  </w:style>
  <w:style w:type="paragraph" w:styleId="Titre1">
    <w:name w:val="Heading 1"/>
    <w:basedOn w:val="Normal"/>
    <w:next w:val="Normal"/>
    <w:qFormat/>
    <w:pPr>
      <w:keepNext w:val="true"/>
      <w:numPr>
        <w:ilvl w:val="0"/>
        <w:numId w:val="1"/>
      </w:numPr>
      <w:outlineLvl w:val="0"/>
    </w:pPr>
    <w:rPr>
      <w:sz w:val="24"/>
      <w:szCs w:val="24"/>
    </w:rPr>
  </w:style>
  <w:style w:type="paragraph" w:styleId="Titre2">
    <w:name w:val="Heading 2"/>
    <w:basedOn w:val="Normal"/>
    <w:next w:val="Normal"/>
    <w:qFormat/>
    <w:pPr>
      <w:keepNext w:val="true"/>
      <w:keepLines/>
      <w:spacing w:before="200" w:after="0"/>
      <w:outlineLvl w:val="1"/>
    </w:pPr>
    <w:rPr>
      <w:rFonts w:eastAsia="" w:cs="" w:asciiTheme="majorHAnsi" w:cstheme="majorBidi" w:eastAsiaTheme="majorEastAsia" w:hAnsiTheme="majorHAnsi"/>
      <w:b/>
      <w:bCs/>
      <w:color w:val="4F81BD" w:themeColor="accent1"/>
      <w:sz w:val="26"/>
      <w:szCs w:val="26"/>
    </w:rPr>
  </w:style>
  <w:style w:type="paragraph" w:styleId="Titre3">
    <w:name w:val="Heading 3"/>
    <w:basedOn w:val="Normal1"/>
    <w:next w:val="Normal1"/>
    <w:qFormat/>
    <w:pPr>
      <w:keepNext w:val="true"/>
      <w:keepLines/>
      <w:spacing w:before="320" w:after="80"/>
      <w:outlineLvl w:val="2"/>
    </w:pPr>
    <w:rPr>
      <w:color w:val="434343"/>
      <w:sz w:val="28"/>
      <w:szCs w:val="28"/>
    </w:rPr>
  </w:style>
  <w:style w:type="character" w:styleId="DefaultParagraphFont">
    <w:name w:val="Default Paragraph Font"/>
    <w:qFormat/>
    <w:rPr/>
  </w:style>
  <w:style w:type="character" w:styleId="TextedebullesCar">
    <w:name w:val="Texte de bulles Car"/>
    <w:basedOn w:val="DefaultParagraphFont"/>
    <w:qFormat/>
    <w:rPr>
      <w:rFonts w:ascii="Tahoma" w:hAnsi="Tahoma" w:cs="Tahoma"/>
      <w:sz w:val="16"/>
      <w:szCs w:val="16"/>
    </w:rPr>
  </w:style>
  <w:style w:type="character" w:styleId="EntteCar">
    <w:name w:val="En-tête Car"/>
    <w:basedOn w:val="DefaultParagraphFont"/>
    <w:qFormat/>
    <w:rPr/>
  </w:style>
  <w:style w:type="character" w:styleId="PieddepageCar">
    <w:name w:val="Pied de page Car"/>
    <w:basedOn w:val="DefaultParagraphFont"/>
    <w:qFormat/>
    <w:rPr/>
  </w:style>
  <w:style w:type="character" w:styleId="Strong">
    <w:name w:val="Strong"/>
    <w:basedOn w:val="DefaultParagraphFont"/>
    <w:qFormat/>
    <w:rPr>
      <w:b/>
      <w:bCs/>
    </w:rPr>
  </w:style>
  <w:style w:type="character" w:styleId="CorpsdetexteCar">
    <w:name w:val="Corps de texte Car"/>
    <w:basedOn w:val="DefaultParagraphFont"/>
    <w:qFormat/>
    <w:rPr>
      <w:rFonts w:ascii="Arial" w:hAnsi="Arial" w:eastAsia="Times New Roman"/>
      <w:i/>
      <w:sz w:val="20"/>
      <w:szCs w:val="20"/>
      <w:lang w:eastAsia="fr-FR"/>
    </w:rPr>
  </w:style>
  <w:style w:type="character" w:styleId="Corpsdetexte2Car">
    <w:name w:val="Corps de texte 2 Car"/>
    <w:basedOn w:val="DefaultParagraphFont"/>
    <w:qFormat/>
    <w:rPr/>
  </w:style>
  <w:style w:type="character" w:styleId="Style1Car">
    <w:name w:val="Style1 Car"/>
    <w:basedOn w:val="DefaultParagraphFont"/>
    <w:qFormat/>
    <w:rPr>
      <w:rFonts w:ascii="Footlight MT Light" w:hAnsi="Footlight MT Light" w:eastAsia="Calibri" w:cs="Arial"/>
      <w:b/>
      <w:spacing w:val="10"/>
      <w:sz w:val="26"/>
      <w:szCs w:val="26"/>
      <w:u w:val="single"/>
      <w:lang w:eastAsia="fr-FR"/>
    </w:rPr>
  </w:style>
  <w:style w:type="character" w:styleId="Titre3Car">
    <w:name w:val="Titre 3 Car"/>
    <w:basedOn w:val="DefaultParagraphFont"/>
    <w:qFormat/>
    <w:rPr>
      <w:rFonts w:ascii="Arial" w:hAnsi="Arial" w:eastAsia="Arial" w:cs="Arial"/>
      <w:color w:val="434343"/>
      <w:sz w:val="28"/>
      <w:szCs w:val="28"/>
      <w:lang w:eastAsia="fr-FR"/>
    </w:rPr>
  </w:style>
  <w:style w:type="character" w:styleId="St">
    <w:name w:val="st"/>
    <w:basedOn w:val="DefaultParagraphFont"/>
    <w:qFormat/>
    <w:rPr/>
  </w:style>
  <w:style w:type="character" w:styleId="Aucun">
    <w:name w:val="Aucun"/>
    <w:qFormat/>
    <w:rPr/>
  </w:style>
  <w:style w:type="character" w:styleId="Puces">
    <w:name w:val="Puces"/>
    <w:qFormat/>
    <w:rPr>
      <w:rFonts w:ascii="OpenSymbol" w:hAnsi="OpenSymbol" w:eastAsia="OpenSymbol" w:cs="OpenSymbol"/>
    </w:rPr>
  </w:style>
  <w:style w:type="character" w:styleId="WW8Num2z0">
    <w:name w:val="WW8Num2z0"/>
    <w:qFormat/>
    <w:rPr/>
  </w:style>
  <w:style w:type="character" w:styleId="WW8Num3z0">
    <w:name w:val="WW8Num3z0"/>
    <w:qFormat/>
    <w:rPr>
      <w:rFonts w:ascii="Calibri" w:hAnsi="Calibri" w:cs="Calibri"/>
      <w:b w:val="false"/>
      <w:bCs w:val="false"/>
      <w:sz w:val="24"/>
      <w:szCs w:val="24"/>
    </w:rPr>
  </w:style>
  <w:style w:type="character" w:styleId="Accentuation">
    <w:name w:val="Accentuation"/>
    <w:basedOn w:val="DefaultParagraphFont"/>
    <w:qFormat/>
    <w:rPr>
      <w:i/>
      <w:iCs/>
    </w:rPr>
  </w:style>
  <w:style w:type="character" w:styleId="LienInternet">
    <w:name w:val="Lien Internet"/>
    <w:basedOn w:val="DefaultParagraphFont"/>
    <w:rPr>
      <w:color w:val="0000FF"/>
      <w:u w:val="single"/>
    </w:rPr>
  </w:style>
  <w:style w:type="character" w:styleId="LienInternetvisit">
    <w:name w:val="Lien Internet visité"/>
    <w:basedOn w:val="DefaultParagraphFont"/>
    <w:rPr>
      <w:color w:val="800080"/>
      <w:u w:val="single"/>
    </w:rPr>
  </w:style>
  <w:style w:type="character" w:styleId="Policepardfaut1">
    <w:name w:val="Police par défaut1"/>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uppressAutoHyphens w:val="false"/>
      <w:spacing w:lineRule="auto" w:line="240" w:before="0" w:after="0"/>
      <w:jc w:val="both"/>
      <w:textAlignment w:val="auto"/>
    </w:pPr>
    <w:rPr>
      <w:rFonts w:ascii="Arial" w:hAnsi="Arial" w:eastAsia="Times New Roman"/>
      <w:i/>
      <w:sz w:val="20"/>
      <w:szCs w:val="20"/>
      <w:lang w:eastAsia="fr-F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andard">
    <w:name w:val="Standard"/>
    <w:qFormat/>
    <w:pPr>
      <w:widowControl/>
      <w:suppressAutoHyphens w:val="true"/>
      <w:overflowPunct w:val="false"/>
      <w:bidi w:val="0"/>
      <w:spacing w:lineRule="auto" w:line="252" w:before="0" w:after="160"/>
      <w:jc w:val="left"/>
      <w:textAlignment w:val="baseline"/>
    </w:pPr>
    <w:rPr>
      <w:rFonts w:ascii="Calibri" w:hAnsi="Calibri" w:eastAsia="Calibri" w:cs="Times New Roman"/>
      <w:color w:val="auto"/>
      <w:kern w:val="0"/>
      <w:sz w:val="22"/>
      <w:szCs w:val="22"/>
      <w:lang w:val="fr-FR" w:eastAsia="en-US" w:bidi="ar-SA"/>
    </w:rPr>
  </w:style>
  <w:style w:type="paragraph" w:styleId="ListParagraph">
    <w:name w:val="List Paragraph"/>
    <w:basedOn w:val="Normal"/>
    <w:qFormat/>
    <w:pPr>
      <w:spacing w:before="0" w:after="160"/>
      <w:ind w:left="720" w:right="0" w:hanging="0"/>
      <w:contextualSpacing/>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Entteetpieddepage">
    <w:name w:val="En-tête et pied de page"/>
    <w:basedOn w:val="Normal"/>
    <w:qFormat/>
    <w:pPr/>
    <w:rPr/>
  </w:style>
  <w:style w:type="paragraph" w:styleId="Entte">
    <w:name w:val="Header"/>
    <w:basedOn w:val="Normal"/>
    <w:pPr>
      <w:tabs>
        <w:tab w:val="clear" w:pos="708"/>
        <w:tab w:val="center" w:pos="4536" w:leader="none"/>
        <w:tab w:val="right" w:pos="9072" w:leader="none"/>
      </w:tabs>
      <w:spacing w:lineRule="auto" w:line="240" w:before="0" w:after="0"/>
    </w:pPr>
    <w:rPr/>
  </w:style>
  <w:style w:type="paragraph" w:styleId="Pieddepage">
    <w:name w:val="Footer"/>
    <w:basedOn w:val="Normal"/>
    <w:pPr>
      <w:tabs>
        <w:tab w:val="clear" w:pos="708"/>
        <w:tab w:val="center" w:pos="4536" w:leader="none"/>
        <w:tab w:val="right" w:pos="9072" w:leader="none"/>
      </w:tabs>
      <w:spacing w:lineRule="auto" w:line="240" w:before="0" w:after="0"/>
    </w:pPr>
    <w:rPr/>
  </w:style>
  <w:style w:type="paragraph" w:styleId="Corps">
    <w:name w:val="Corps"/>
    <w:qFormat/>
    <w:pPr>
      <w:widowControl/>
      <w:suppressAutoHyphens w:val="true"/>
      <w:overflowPunct w:val="false"/>
      <w:bidi w:val="0"/>
      <w:spacing w:lineRule="auto" w:line="240" w:before="0" w:after="0"/>
      <w:jc w:val="left"/>
      <w:textAlignment w:val="auto"/>
    </w:pPr>
    <w:rPr>
      <w:rFonts w:ascii="Helvetica" w:hAnsi="Helvetica" w:eastAsia="Arial Unicode MS" w:cs="Arial Unicode MS"/>
      <w:color w:val="000000"/>
      <w:kern w:val="0"/>
      <w:sz w:val="22"/>
      <w:szCs w:val="22"/>
      <w:lang w:val="fr-FR" w:eastAsia="fr-FR" w:bidi="ar-SA"/>
    </w:rPr>
  </w:style>
  <w:style w:type="paragraph" w:styleId="BodyText2">
    <w:name w:val="Body Text 2"/>
    <w:basedOn w:val="Normal"/>
    <w:qFormat/>
    <w:pPr>
      <w:spacing w:lineRule="auto" w:line="480" w:before="0" w:after="120"/>
    </w:pPr>
    <w:rPr/>
  </w:style>
  <w:style w:type="paragraph" w:styleId="Style11">
    <w:name w:val="Style1"/>
    <w:basedOn w:val="Normal"/>
    <w:qFormat/>
    <w:pPr>
      <w:suppressAutoHyphens w:val="false"/>
      <w:spacing w:lineRule="auto" w:line="240" w:before="0" w:after="120"/>
      <w:jc w:val="both"/>
      <w:textAlignment w:val="auto"/>
    </w:pPr>
    <w:rPr>
      <w:rFonts w:ascii="Footlight MT Light" w:hAnsi="Footlight MT Light" w:eastAsia="Calibri" w:cs="Arial"/>
      <w:b/>
      <w:spacing w:val="10"/>
      <w:sz w:val="26"/>
      <w:szCs w:val="26"/>
      <w:u w:val="single"/>
      <w:lang w:eastAsia="fr-FR"/>
    </w:rPr>
  </w:style>
  <w:style w:type="paragraph" w:styleId="Normal1">
    <w:name w:val="Normal1"/>
    <w:qFormat/>
    <w:pPr>
      <w:widowControl/>
      <w:suppressAutoHyphens w:val="true"/>
      <w:overflowPunct w:val="false"/>
      <w:bidi w:val="0"/>
      <w:spacing w:lineRule="auto" w:line="276" w:before="0" w:after="0"/>
      <w:jc w:val="left"/>
      <w:textAlignment w:val="auto"/>
    </w:pPr>
    <w:rPr>
      <w:rFonts w:ascii="Arial" w:hAnsi="Arial" w:eastAsia="Arial" w:cs="Arial"/>
      <w:color w:val="auto"/>
      <w:kern w:val="0"/>
      <w:sz w:val="22"/>
      <w:szCs w:val="22"/>
      <w:lang w:val="fr-FR" w:eastAsia="fr-FR" w:bidi="ar-SA"/>
    </w:rPr>
  </w:style>
  <w:style w:type="paragraph" w:styleId="Adresse">
    <w:name w:val="adresse"/>
    <w:basedOn w:val="Normal"/>
    <w:qFormat/>
    <w:pPr>
      <w:suppressAutoHyphens w:val="false"/>
      <w:overflowPunct w:val="false"/>
      <w:spacing w:lineRule="auto" w:line="240" w:before="0" w:after="0"/>
      <w:ind w:left="5670" w:right="0" w:hanging="0"/>
    </w:pPr>
    <w:rPr>
      <w:rFonts w:ascii="Times New Roman" w:hAnsi="Times New Roman" w:eastAsia="Times New Roman"/>
      <w:sz w:val="20"/>
      <w:szCs w:val="20"/>
      <w:lang w:eastAsia="fr-FR"/>
    </w:rPr>
  </w:style>
  <w:style w:type="paragraph" w:styleId="Contenudecadre">
    <w:name w:val="Contenu de cadre"/>
    <w:basedOn w:val="Normal"/>
    <w:qFormat/>
    <w:pPr/>
    <w:rPr/>
  </w:style>
  <w:style w:type="paragraph" w:styleId="NoSpacing">
    <w:name w:val="No Spacing"/>
    <w:qFormat/>
    <w:pPr>
      <w:widowControl/>
      <w:suppressAutoHyphens w:val="true"/>
      <w:overflowPunct w:val="false"/>
      <w:bidi w:val="0"/>
      <w:spacing w:lineRule="auto" w:line="240" w:before="0" w:after="0"/>
      <w:jc w:val="left"/>
      <w:textAlignment w:val="baseline"/>
    </w:pPr>
    <w:rPr>
      <w:rFonts w:ascii="Calibri" w:hAnsi="Calibri" w:eastAsia="Calibri" w:cs="Times New Roman"/>
      <w:color w:val="auto"/>
      <w:kern w:val="0"/>
      <w:sz w:val="22"/>
      <w:szCs w:val="22"/>
      <w:lang w:val="fr-FR" w:eastAsia="en-US" w:bidi="ar-S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NormalWeb">
    <w:name w:val="Normal (Web)"/>
    <w:basedOn w:val="Normal"/>
    <w:qFormat/>
    <w:pPr>
      <w:spacing w:before="280" w:after="280"/>
    </w:pPr>
    <w:rPr>
      <w:rFonts w:ascii="Times New Roman" w:hAnsi="Times New Roman" w:eastAsia="Times New Roman" w:cs="Times New Roman"/>
      <w:lang w:eastAsia="fr-FR"/>
    </w:rPr>
  </w:style>
  <w:style w:type="paragraph" w:styleId="VuConsidrant">
    <w:name w:val="Vu.Considérant"/>
    <w:basedOn w:val="Normal"/>
    <w:qFormat/>
    <w:pPr>
      <w:spacing w:before="0" w:after="140"/>
      <w:jc w:val="both"/>
    </w:pPr>
    <w:rPr>
      <w:rFonts w:ascii="Arial" w:hAnsi="Arial" w:cs="Arial"/>
    </w:rPr>
  </w:style>
  <w:style w:type="paragraph" w:styleId="Paragraphedeliste">
    <w:name w:val="Paragraphe de liste"/>
    <w:basedOn w:val="Normal"/>
    <w:qFormat/>
    <w:pPr>
      <w:spacing w:lineRule="auto" w:line="276" w:before="0" w:after="200"/>
      <w:ind w:left="720" w:right="0" w:hanging="0"/>
      <w:contextualSpacing/>
    </w:pPr>
    <w:rPr>
      <w:rFonts w:ascii="Calibri" w:hAnsi="Calibri" w:eastAsia="Calibri" w:cs="Calibri"/>
      <w:sz w:val="22"/>
      <w:szCs w:val="22"/>
    </w:rPr>
  </w:style>
  <w:style w:type="paragraph" w:styleId="TexteCourrier">
    <w:name w:val="TexteCourrier"/>
    <w:basedOn w:val="Paragraphedeliste"/>
    <w:qFormat/>
    <w:pPr>
      <w:spacing w:before="120" w:after="0"/>
      <w:ind w:left="0" w:right="0" w:hanging="0"/>
      <w:contextualSpacing/>
    </w:pPr>
    <w:rPr>
      <w:sz w:val="20"/>
      <w:szCs w:val="20"/>
      <w:lang w:val="fr-FR"/>
    </w:rPr>
  </w:style>
  <w:style w:type="paragraph" w:styleId="LOnormal">
    <w:name w:val="LO-normal"/>
    <w:qFormat/>
    <w:pPr>
      <w:widowControl/>
      <w:suppressAutoHyphens w:val="true"/>
      <w:overflowPunct w:val="false"/>
      <w:bidi w:val="0"/>
      <w:spacing w:lineRule="auto" w:line="259" w:before="0" w:after="160"/>
      <w:jc w:val="left"/>
    </w:pPr>
    <w:rPr>
      <w:rFonts w:ascii="Calibri" w:hAnsi="Calibri" w:eastAsia="Calibri" w:cs="Times New Roman"/>
      <w:color w:val="auto"/>
      <w:kern w:val="0"/>
      <w:sz w:val="22"/>
      <w:szCs w:val="22"/>
      <w:lang w:val="fr-FR" w:eastAsia="en-US" w:bidi="ar-SA"/>
    </w:rPr>
  </w:style>
  <w:style w:type="paragraph" w:styleId="Western">
    <w:name w:val="western"/>
    <w:basedOn w:val="Normal"/>
    <w:qFormat/>
    <w:pPr>
      <w:spacing w:lineRule="auto" w:line="240" w:before="280" w:after="280"/>
    </w:pPr>
    <w:rPr>
      <w:rFonts w:ascii="Times New Roman" w:hAnsi="Times New Roman" w:eastAsia="Times New Roman" w:cs="Times New Roman"/>
      <w:sz w:val="24"/>
      <w:szCs w:val="24"/>
      <w:lang w:eastAsia="fr-FR"/>
    </w:rPr>
  </w:style>
  <w:style w:type="paragraph" w:styleId="Corpsdlib">
    <w:name w:val="Corps délib"/>
    <w:basedOn w:val="Normal"/>
    <w:qFormat/>
    <w:pPr>
      <w:suppressAutoHyphens w:val="true"/>
      <w:jc w:val="both"/>
    </w:pPr>
    <w:rPr>
      <w:b w:val="false"/>
      <w:bCs/>
      <w:sz w:val="22"/>
      <w:szCs w:val="12"/>
    </w:rPr>
  </w:style>
  <w:style w:type="numbering" w:styleId="NoList">
    <w:name w:val="No List"/>
    <w:qFormat/>
  </w:style>
  <w:style w:type="numbering" w:styleId="Tiret">
    <w:name w:val="Tiret"/>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1935</TotalTime>
  <Application>LibreOffice/6.4.4.2$Windows_X86_64 LibreOffice_project/3d775be2011f3886db32dfd395a6a6d1ca2630ff</Application>
  <Pages>3</Pages>
  <Words>695</Words>
  <Characters>3709</Characters>
  <CharactersWithSpaces>4356</CharactersWithSpaces>
  <Paragraphs>83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2021-02-12T09:01:00Z</dcterms:created>
  <dc:creator>HP Elite</dc:creator>
  <dc:description/>
  <dc:language>fr-FR</dc:language>
  <cp:lastModifiedBy/>
  <cp:lastPrinted>2023-11-07T14:42:45Z</cp:lastPrinted>
  <dcterms:modified xsi:type="dcterms:W3CDTF">2023-12-05T11:40:53Z</dcterms:modified>
  <cp:revision>231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